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1BFA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5BC47E">
            <w:pPr>
              <w:pStyle w:val="18"/>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ICS</w:t>
            </w:r>
            <w:r>
              <w:rPr>
                <w:rFonts w:hint="default" w:ascii="黑体" w:hAnsi="黑体" w:eastAsia="黑体"/>
                <w:sz w:val="21"/>
                <w:szCs w:val="21"/>
              </w:rPr>
              <w:t xml:space="preserve">  </w:t>
            </w:r>
          </w:p>
        </w:tc>
        <w:tc>
          <w:tcPr>
            <w:tcW w:w="8855" w:type="dxa"/>
          </w:tcPr>
          <w:p w14:paraId="15F395E2">
            <w:pPr>
              <w:pStyle w:val="18"/>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sz w:val="21"/>
                <w:szCs w:val="21"/>
              </w:rPr>
            </w:pPr>
            <w:r>
              <w:rPr>
                <w:rFonts w:hint="default" w:ascii="黑体" w:hAnsi="黑体" w:eastAsia="黑体"/>
                <w:sz w:val="21"/>
                <w:szCs w:val="21"/>
              </w:rPr>
              <w:fldChar w:fldCharType="begin">
                <w:ffData>
                  <w:name w:val="ICS"/>
                  <w:enabled/>
                  <w:calcOnExit w:val="0"/>
                  <w:textInput>
                    <w:default w:val="点击此处添加ICS号"/>
                  </w:textInput>
                </w:ffData>
              </w:fldChar>
            </w:r>
            <w:bookmarkStart w:id="0" w:name="ICS"/>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default" w:ascii="黑体" w:hAnsi="黑体" w:eastAsia="黑体"/>
                <w:sz w:val="21"/>
                <w:szCs w:val="21"/>
              </w:rPr>
              <w:t xml:space="preserve">13.100 </w:t>
            </w:r>
            <w:r>
              <w:rPr>
                <w:rFonts w:hint="default" w:ascii="黑体" w:hAnsi="黑体" w:eastAsia="黑体"/>
                <w:sz w:val="21"/>
                <w:szCs w:val="21"/>
              </w:rPr>
              <w:fldChar w:fldCharType="end"/>
            </w:r>
            <w:bookmarkEnd w:id="0"/>
          </w:p>
        </w:tc>
      </w:tr>
      <w:tr w14:paraId="722A7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B5C45E9">
            <w:pPr>
              <w:pStyle w:val="18"/>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 xml:space="preserve">CCS </w:t>
            </w:r>
            <w:r>
              <w:rPr>
                <w:rFonts w:hint="default" w:ascii="黑体" w:hAnsi="黑体" w:eastAsia="黑体"/>
                <w:sz w:val="21"/>
                <w:szCs w:val="21"/>
              </w:rPr>
              <w:t xml:space="preserve"> </w:t>
            </w:r>
          </w:p>
        </w:tc>
        <w:tc>
          <w:tcPr>
            <w:tcW w:w="8855" w:type="dxa"/>
          </w:tcPr>
          <w:p w14:paraId="78D11973">
            <w:pPr>
              <w:pStyle w:val="18"/>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黑体" w:hAnsi="黑体" w:eastAsia="黑体"/>
                <w:sz w:val="21"/>
                <w:szCs w:val="21"/>
              </w:rPr>
              <w:fldChar w:fldCharType="begin">
                <w:ffData>
                  <w:name w:val="CSDN"/>
                  <w:enabled/>
                  <w:calcOnExit w:val="0"/>
                  <w:textInput>
                    <w:default w:val="点击此处添加CCS号"/>
                  </w:textInput>
                </w:ffData>
              </w:fldChar>
            </w:r>
            <w:bookmarkStart w:id="1" w:name="CSDN"/>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default" w:ascii="黑体" w:hAnsi="黑体" w:eastAsia="黑体"/>
                <w:sz w:val="21"/>
                <w:szCs w:val="21"/>
              </w:rPr>
              <w:t xml:space="preserve">C01     </w:t>
            </w:r>
            <w:r>
              <w:rPr>
                <w:rFonts w:hint="default"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CE48EC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2A949F6">
            <w:pPr>
              <w:pStyle w:val="50"/>
              <w:keepNext w:val="0"/>
              <w:keepLines w:val="0"/>
              <w:framePr w:w="0" w:hRule="auto" w:wrap="auto" w:vAnchor="margin" w:hAnchor="text" w:xAlign="left" w:yAlign="inline"/>
              <w:widowControl/>
              <w:suppressLineNumbers w:val="0"/>
              <w:spacing w:before="0" w:beforeAutospacing="0" w:after="0" w:afterAutospacing="0"/>
              <w:ind w:left="0" w:right="0"/>
              <w:rPr>
                <w:rFonts w:hint="default" w:ascii="宋体" w:hAnsi="宋体"/>
                <w:sz w:val="28"/>
                <w:szCs w:val="28"/>
              </w:rPr>
            </w:pPr>
            <w:bookmarkStart w:id="2" w:name="_Hlk26473981"/>
            <w:r>
              <w:rPr>
                <w:rFonts w:hint="default"/>
                <w:szCs w:val="20"/>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default"/>
                <w:sz w:val="21"/>
                <w:szCs w:val="21"/>
              </w:rPr>
              <w:t xml:space="preserve"> </w:t>
            </w:r>
            <w:r>
              <w:rPr>
                <w:rFonts w:hint="default"/>
                <w:szCs w:val="20"/>
              </w:rPr>
              <w:fldChar w:fldCharType="begin">
                <w:ffData>
                  <w:name w:val="c1"/>
                  <w:enabled/>
                  <w:calcOnExit w:val="0"/>
                  <w:textInput>
                    <w:maxLength w:val="8"/>
                  </w:textInput>
                </w:ffData>
              </w:fldChar>
            </w:r>
            <w:bookmarkStart w:id="3" w:name="c1"/>
            <w:r>
              <w:rPr>
                <w:rFonts w:hint="default"/>
                <w:szCs w:val="20"/>
              </w:rPr>
              <w:instrText xml:space="preserve"> FORMTEXT </w:instrText>
            </w:r>
            <w:r>
              <w:rPr>
                <w:rFonts w:hint="default"/>
                <w:szCs w:val="20"/>
              </w:rPr>
              <w:fldChar w:fldCharType="separate"/>
            </w:r>
            <w:r>
              <w:rPr>
                <w:rFonts w:hint="default"/>
                <w:szCs w:val="20"/>
              </w:rPr>
              <w:t>3204</w:t>
            </w:r>
            <w:r>
              <w:rPr>
                <w:rFonts w:hint="default"/>
                <w:szCs w:val="20"/>
              </w:rPr>
              <w:fldChar w:fldCharType="end"/>
            </w:r>
            <w:bookmarkEnd w:id="3"/>
          </w:p>
        </w:tc>
      </w:tr>
    </w:tbl>
    <w:p w14:paraId="1D6E2882">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常州市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F5A739B">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rFonts w:hint="eastAsia"/>
        </w:rPr>
        <w:t>04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lang w:val="fr-FR" w:eastAsia="zh-CN"/>
        </w:rPr>
        <w:t>*</w:t>
      </w:r>
      <w:r>
        <w:rPr>
          <w:rFonts w:hint="eastAsia"/>
          <w:lang w:val="en-US" w:eastAsia="zh-CN"/>
        </w:rPr>
        <w:t>***</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lang w:val="en-US" w:eastAsia="zh-CN"/>
        </w:rPr>
        <w:t>5</w:t>
      </w:r>
      <w:r>
        <w:fldChar w:fldCharType="end"/>
      </w:r>
      <w:bookmarkEnd w:id="7"/>
    </w:p>
    <w:p w14:paraId="24D2F70D">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40B766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1EE08EB">
      <w:pPr>
        <w:pStyle w:val="51"/>
        <w:framePr w:w="9639" w:h="6976" w:hRule="exact" w:hSpace="0" w:vSpace="0" w:wrap="around" w:hAnchor="page" w:y="6408"/>
        <w:jc w:val="center"/>
        <w:rPr>
          <w:rFonts w:ascii="黑体" w:hAnsi="黑体" w:eastAsia="黑体"/>
          <w:b w:val="0"/>
          <w:bCs w:val="0"/>
          <w:w w:val="100"/>
        </w:rPr>
      </w:pPr>
    </w:p>
    <w:p w14:paraId="4B0C76F2">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地理标志产品  黄天荡清水蟹</w:t>
      </w:r>
      <w:r>
        <w:fldChar w:fldCharType="end"/>
      </w:r>
      <w:bookmarkEnd w:id="9"/>
    </w:p>
    <w:p w14:paraId="5620CB37">
      <w:pPr>
        <w:framePr w:w="9639" w:h="6974" w:hRule="exact" w:wrap="around" w:vAnchor="page" w:hAnchor="page" w:x="1419" w:y="6408" w:anchorLock="1"/>
        <w:ind w:left="-1418"/>
      </w:pPr>
    </w:p>
    <w:p w14:paraId="16B17DC2">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val="en-US" w:eastAsia="zh-CN"/>
        </w:rPr>
        <w:t>Product of geographical indication   Huang Tiandang Clear water crab</w:t>
      </w:r>
      <w:r>
        <w:rPr>
          <w:rFonts w:eastAsia="黑体"/>
          <w:szCs w:val="28"/>
        </w:rPr>
        <w:fldChar w:fldCharType="end"/>
      </w:r>
      <w:bookmarkEnd w:id="10"/>
    </w:p>
    <w:p w14:paraId="5A44D25E">
      <w:pPr>
        <w:framePr w:w="9639" w:h="6974" w:hRule="exact" w:wrap="around" w:vAnchor="page" w:hAnchor="page" w:x="1419" w:y="6408" w:anchorLock="1"/>
        <w:spacing w:line="760" w:lineRule="exact"/>
        <w:ind w:left="-1418"/>
      </w:pPr>
    </w:p>
    <w:p w14:paraId="0B9E33FA">
      <w:pPr>
        <w:pStyle w:val="126"/>
        <w:framePr w:w="9639" w:h="6974" w:hRule="exact" w:wrap="around" w:vAnchor="page" w:hAnchor="page" w:x="1419" w:y="6408" w:anchorLock="1"/>
        <w:textAlignment w:val="bottom"/>
        <w:rPr>
          <w:rFonts w:eastAsia="黑体"/>
          <w:szCs w:val="28"/>
        </w:rPr>
      </w:pPr>
    </w:p>
    <w:p w14:paraId="584D5050">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9C61720">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999A8D5">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00BBF65">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w:t>
      </w:r>
      <w:r>
        <w:rPr>
          <w:rFonts w:hint="eastAsia" w:ascii="黑体"/>
          <w:lang w:val="en-US" w:eastAsia="zh-CN"/>
        </w:rPr>
        <w:t>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w:t>
      </w:r>
      <w:r>
        <w:rPr>
          <w:rFonts w:ascii="黑体"/>
        </w:rPr>
        <w:fldChar w:fldCharType="end"/>
      </w:r>
      <w:bookmarkEnd w:id="16"/>
      <w:r>
        <w:rPr>
          <w:rFonts w:hint="eastAsia"/>
        </w:rPr>
        <w:t>发布</w:t>
      </w:r>
    </w:p>
    <w:p w14:paraId="77B5B96D">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w:t>
      </w:r>
      <w:r>
        <w:rPr>
          <w:rFonts w:hint="eastAsia" w:ascii="黑体"/>
          <w:lang w:val="en-US" w:eastAsia="zh-CN"/>
        </w:rPr>
        <w:t>5</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w:t>
      </w:r>
      <w:r>
        <w:rPr>
          <w:rFonts w:ascii="黑体"/>
        </w:rPr>
        <w:fldChar w:fldCharType="end"/>
      </w:r>
      <w:bookmarkEnd w:id="19"/>
      <w:r>
        <w:rPr>
          <w:rFonts w:hint="eastAsia"/>
        </w:rPr>
        <w:t>实施</w:t>
      </w:r>
    </w:p>
    <w:p w14:paraId="6BCCF017">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常州市市场监督管理局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36FAF582">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898FF37">
      <w:pPr>
        <w:pStyle w:val="90"/>
        <w:spacing w:before="900" w:after="468"/>
      </w:pPr>
      <w:bookmarkStart w:id="21" w:name="BookMark2"/>
      <w:r>
        <w:rPr>
          <w:spacing w:val="320"/>
        </w:rPr>
        <w:t>前</w:t>
      </w:r>
      <w:r>
        <w:t>言</w:t>
      </w:r>
    </w:p>
    <w:p w14:paraId="42FAEE1D">
      <w:pPr>
        <w:pStyle w:val="57"/>
        <w:ind w:firstLine="420"/>
        <w:rPr>
          <w:rFonts w:hint="eastAsia"/>
          <w:color w:val="auto"/>
        </w:rPr>
      </w:pPr>
      <w:r>
        <w:rPr>
          <w:rFonts w:hint="eastAsia"/>
          <w:color w:val="auto"/>
        </w:rPr>
        <w:t>本文件根据原国家质量监督检验检疫总局《地理标志产品保护规定》（中华人民共和国国家质量监 督检验检疫总局令第78号） 和 GB/T 17924—2008</w:t>
      </w:r>
      <w:r>
        <w:rPr>
          <w:rFonts w:hint="eastAsia"/>
          <w:color w:val="auto"/>
          <w:lang w:eastAsia="zh-CN"/>
        </w:rPr>
        <w:t>《</w:t>
      </w:r>
      <w:r>
        <w:rPr>
          <w:rFonts w:hint="eastAsia"/>
          <w:color w:val="auto"/>
        </w:rPr>
        <w:t>地理标志产品标准通用要求</w:t>
      </w:r>
      <w:r>
        <w:rPr>
          <w:rFonts w:hint="eastAsia"/>
          <w:color w:val="auto"/>
          <w:lang w:eastAsia="zh-CN"/>
        </w:rPr>
        <w:t>》</w:t>
      </w:r>
      <w:r>
        <w:rPr>
          <w:rFonts w:hint="eastAsia"/>
          <w:color w:val="auto"/>
        </w:rPr>
        <w:t>制定，本文件按照 GB/T 1.1—2020《标准化工作导则  第1部分：标准化文件的结构和起草规则》的规定起草。</w:t>
      </w:r>
    </w:p>
    <w:p w14:paraId="5E7949E6">
      <w:pPr>
        <w:pStyle w:val="57"/>
        <w:ind w:firstLine="420"/>
        <w:rPr>
          <w:rFonts w:hint="eastAsia"/>
          <w:color w:val="auto"/>
        </w:rPr>
      </w:pPr>
      <w:r>
        <w:rPr>
          <w:rFonts w:hint="eastAsia"/>
          <w:color w:val="auto"/>
        </w:rPr>
        <w:t>请注意本文件的某些内容可能涉及专利。本文件的发布机构不承担识别专利的责任。</w:t>
      </w:r>
    </w:p>
    <w:p w14:paraId="458692D8">
      <w:pPr>
        <w:pStyle w:val="57"/>
        <w:ind w:firstLine="420"/>
        <w:rPr>
          <w:rFonts w:hint="default" w:eastAsia="宋体"/>
          <w:color w:val="auto"/>
          <w:lang w:val="en-US" w:eastAsia="zh-CN"/>
        </w:rPr>
      </w:pPr>
      <w:r>
        <w:rPr>
          <w:rFonts w:hint="eastAsia"/>
          <w:color w:val="auto"/>
        </w:rPr>
        <w:t>本文件由常州市食品药品纤维质量监督检验中心</w:t>
      </w:r>
      <w:r>
        <w:rPr>
          <w:rFonts w:hint="eastAsia"/>
          <w:color w:val="auto"/>
          <w:lang w:eastAsia="zh-CN"/>
        </w:rPr>
        <w:t>提出，由</w:t>
      </w:r>
      <w:r>
        <w:rPr>
          <w:rFonts w:hint="eastAsia"/>
          <w:color w:val="auto"/>
          <w:lang w:val="en-US" w:eastAsia="zh-CN"/>
        </w:rPr>
        <w:t>常州市市场监管局归口和组织实施。</w:t>
      </w:r>
    </w:p>
    <w:p w14:paraId="3A82BBF6">
      <w:pPr>
        <w:pStyle w:val="57"/>
        <w:ind w:firstLine="420"/>
        <w:rPr>
          <w:rFonts w:hint="eastAsia" w:eastAsia="宋体"/>
          <w:color w:val="auto"/>
          <w:lang w:eastAsia="zh-CN"/>
        </w:rPr>
      </w:pPr>
      <w:r>
        <w:rPr>
          <w:rFonts w:hint="eastAsia"/>
          <w:color w:val="auto"/>
        </w:rPr>
        <w:t>本文件起草单位：常州市食品药品纤维质量监督检验中心</w:t>
      </w:r>
      <w:r>
        <w:rPr>
          <w:rFonts w:hint="eastAsia"/>
          <w:color w:val="auto"/>
          <w:lang w:eastAsia="zh-CN"/>
        </w:rPr>
        <w:t>、</w:t>
      </w:r>
      <w:r>
        <w:rPr>
          <w:rFonts w:hint="eastAsia"/>
          <w:color w:val="auto"/>
        </w:rPr>
        <w:t>常州市农产品质量安全中心</w:t>
      </w:r>
      <w:r>
        <w:rPr>
          <w:rFonts w:hint="eastAsia"/>
          <w:color w:val="auto"/>
          <w:lang w:eastAsia="zh-CN"/>
        </w:rPr>
        <w:t>、</w:t>
      </w:r>
      <w:r>
        <w:rPr>
          <w:rFonts w:hint="eastAsia"/>
          <w:color w:val="auto"/>
        </w:rPr>
        <w:t>江苏九洲诺亚农业科技有限公司</w:t>
      </w:r>
      <w:r>
        <w:rPr>
          <w:rFonts w:hint="eastAsia"/>
          <w:color w:val="auto"/>
          <w:lang w:eastAsia="zh-CN"/>
        </w:rPr>
        <w:t>。</w:t>
      </w:r>
    </w:p>
    <w:p w14:paraId="0179833D">
      <w:pPr>
        <w:pStyle w:val="57"/>
        <w:ind w:firstLine="420"/>
        <w:rPr>
          <w:rFonts w:hint="default" w:eastAsia="宋体"/>
          <w:color w:val="auto"/>
          <w:lang w:val="en-US" w:eastAsia="zh-CN"/>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hint="eastAsia"/>
          <w:color w:val="auto"/>
        </w:rPr>
        <w:t>本文件主要起草人：耿成钢</w:t>
      </w:r>
      <w:r>
        <w:rPr>
          <w:rFonts w:hint="eastAsia"/>
          <w:color w:val="auto"/>
          <w:lang w:eastAsia="zh-CN"/>
        </w:rPr>
        <w:t>、</w:t>
      </w:r>
      <w:r>
        <w:rPr>
          <w:rFonts w:hint="eastAsia"/>
          <w:color w:val="auto"/>
        </w:rPr>
        <w:t>王洁琼</w:t>
      </w:r>
      <w:r>
        <w:rPr>
          <w:rFonts w:hint="eastAsia"/>
          <w:color w:val="auto"/>
          <w:lang w:eastAsia="zh-CN"/>
        </w:rPr>
        <w:t>、</w:t>
      </w:r>
      <w:r>
        <w:rPr>
          <w:rFonts w:hint="eastAsia"/>
          <w:color w:val="auto"/>
        </w:rPr>
        <w:t>戴飞</w:t>
      </w:r>
      <w:r>
        <w:rPr>
          <w:rFonts w:hint="eastAsia"/>
          <w:color w:val="auto"/>
          <w:lang w:eastAsia="zh-CN"/>
        </w:rPr>
        <w:t>、</w:t>
      </w:r>
      <w:r>
        <w:rPr>
          <w:rFonts w:hint="eastAsia"/>
          <w:color w:val="auto"/>
        </w:rPr>
        <w:t>袁荷芳</w:t>
      </w:r>
      <w:r>
        <w:rPr>
          <w:rFonts w:hint="eastAsia"/>
          <w:color w:val="auto"/>
          <w:lang w:eastAsia="zh-CN"/>
        </w:rPr>
        <w:t>、</w:t>
      </w:r>
      <w:r>
        <w:rPr>
          <w:rFonts w:hint="eastAsia"/>
          <w:color w:val="auto"/>
        </w:rPr>
        <w:t>朱寅</w:t>
      </w:r>
      <w:r>
        <w:rPr>
          <w:rFonts w:hint="eastAsia"/>
          <w:color w:val="auto"/>
          <w:lang w:eastAsia="zh-CN"/>
        </w:rPr>
        <w:t>、</w:t>
      </w:r>
      <w:r>
        <w:rPr>
          <w:rFonts w:hint="eastAsia"/>
          <w:color w:val="auto"/>
        </w:rPr>
        <w:t>杨春芳</w:t>
      </w:r>
      <w:r>
        <w:rPr>
          <w:rFonts w:hint="eastAsia"/>
          <w:color w:val="auto"/>
          <w:lang w:eastAsia="zh-CN"/>
        </w:rPr>
        <w:t>、</w:t>
      </w:r>
      <w:r>
        <w:rPr>
          <w:rFonts w:hint="eastAsia"/>
          <w:color w:val="auto"/>
        </w:rPr>
        <w:t>宋淑文</w:t>
      </w:r>
      <w:r>
        <w:rPr>
          <w:rFonts w:hint="eastAsia"/>
          <w:color w:val="auto"/>
          <w:lang w:eastAsia="zh-CN"/>
        </w:rPr>
        <w:t>、</w:t>
      </w:r>
      <w:r>
        <w:rPr>
          <w:rFonts w:hint="eastAsia"/>
          <w:color w:val="auto"/>
        </w:rPr>
        <w:t>高蕙文</w:t>
      </w:r>
      <w:r>
        <w:rPr>
          <w:rFonts w:hint="eastAsia"/>
          <w:color w:val="auto"/>
          <w:lang w:eastAsia="zh-CN"/>
        </w:rPr>
        <w:t>、</w:t>
      </w:r>
      <w:r>
        <w:rPr>
          <w:rFonts w:hint="eastAsia"/>
          <w:color w:val="auto"/>
        </w:rPr>
        <w:t>毛辉</w:t>
      </w:r>
      <w:r>
        <w:rPr>
          <w:rFonts w:hint="eastAsia"/>
          <w:color w:val="auto"/>
          <w:lang w:eastAsia="zh-CN"/>
        </w:rPr>
        <w:t>、</w:t>
      </w:r>
      <w:r>
        <w:rPr>
          <w:rFonts w:hint="eastAsia"/>
          <w:color w:val="auto"/>
        </w:rPr>
        <w:t>杨丹妮</w:t>
      </w:r>
      <w:r>
        <w:rPr>
          <w:rFonts w:hint="eastAsia"/>
          <w:color w:val="auto"/>
          <w:lang w:eastAsia="zh-CN"/>
        </w:rPr>
        <w:t>、</w:t>
      </w:r>
      <w:r>
        <w:rPr>
          <w:rFonts w:hint="eastAsia"/>
          <w:color w:val="auto"/>
        </w:rPr>
        <w:t>顾成鹏</w:t>
      </w:r>
      <w:r>
        <w:rPr>
          <w:rFonts w:hint="eastAsia"/>
          <w:color w:val="auto"/>
          <w:lang w:eastAsia="zh-CN"/>
        </w:rPr>
        <w:t>、</w:t>
      </w:r>
      <w:r>
        <w:rPr>
          <w:rFonts w:hint="eastAsia"/>
          <w:color w:val="auto"/>
        </w:rPr>
        <w:t>朱亚鑫</w:t>
      </w:r>
      <w:r>
        <w:rPr>
          <w:rFonts w:hint="eastAsia"/>
          <w:color w:val="auto"/>
          <w:lang w:eastAsia="zh-CN"/>
        </w:rPr>
        <w:t>、</w:t>
      </w:r>
      <w:r>
        <w:rPr>
          <w:rFonts w:hint="eastAsia"/>
          <w:color w:val="auto"/>
        </w:rPr>
        <w:t>祁奇</w:t>
      </w:r>
      <w:r>
        <w:rPr>
          <w:rFonts w:hint="eastAsia"/>
          <w:color w:val="auto"/>
          <w:lang w:eastAsia="zh-CN"/>
        </w:rPr>
        <w:t>、</w:t>
      </w:r>
      <w:r>
        <w:rPr>
          <w:rFonts w:hint="eastAsia"/>
          <w:color w:val="auto"/>
        </w:rPr>
        <w:t>陈军</w:t>
      </w:r>
      <w:r>
        <w:rPr>
          <w:rFonts w:hint="eastAsia"/>
          <w:color w:val="auto"/>
          <w:lang w:eastAsia="zh-CN"/>
        </w:rPr>
        <w:t>、</w:t>
      </w:r>
      <w:r>
        <w:rPr>
          <w:rFonts w:hint="eastAsia"/>
          <w:color w:val="auto"/>
        </w:rPr>
        <w:t>鲍晗峰</w:t>
      </w:r>
      <w:r>
        <w:rPr>
          <w:rFonts w:hint="eastAsia"/>
          <w:color w:val="auto"/>
          <w:lang w:eastAsia="zh-CN"/>
        </w:rPr>
        <w:t>、</w:t>
      </w:r>
      <w:r>
        <w:rPr>
          <w:rFonts w:hint="eastAsia"/>
          <w:color w:val="auto"/>
        </w:rPr>
        <w:t>伍慧方</w:t>
      </w:r>
      <w:r>
        <w:rPr>
          <w:rFonts w:hint="eastAsia"/>
          <w:color w:val="auto"/>
          <w:lang w:eastAsia="zh-CN"/>
        </w:rPr>
        <w:t>、</w:t>
      </w:r>
      <w:r>
        <w:rPr>
          <w:rFonts w:hint="eastAsia"/>
          <w:color w:val="auto"/>
        </w:rPr>
        <w:t>李明霞</w:t>
      </w:r>
      <w:r>
        <w:rPr>
          <w:rFonts w:hint="eastAsia"/>
          <w:color w:val="auto"/>
          <w:lang w:eastAsia="zh-CN"/>
        </w:rPr>
        <w:t>、</w:t>
      </w:r>
      <w:r>
        <w:rPr>
          <w:rFonts w:hint="eastAsia"/>
          <w:color w:val="auto"/>
        </w:rPr>
        <w:t>倪嘉倩</w:t>
      </w:r>
      <w:r>
        <w:rPr>
          <w:rFonts w:hint="eastAsia"/>
          <w:color w:val="auto"/>
          <w:lang w:eastAsia="zh-CN"/>
        </w:rPr>
        <w:t>、</w:t>
      </w:r>
      <w:r>
        <w:rPr>
          <w:rFonts w:hint="eastAsia"/>
          <w:color w:val="auto"/>
        </w:rPr>
        <w:t>李明霞</w:t>
      </w:r>
      <w:r>
        <w:rPr>
          <w:rFonts w:hint="eastAsia"/>
          <w:color w:val="auto"/>
          <w:lang w:eastAsia="zh-CN"/>
        </w:rPr>
        <w:t>、</w:t>
      </w:r>
      <w:r>
        <w:rPr>
          <w:rFonts w:hint="eastAsia"/>
          <w:color w:val="auto"/>
        </w:rPr>
        <w:t>汤娇</w:t>
      </w:r>
      <w:r>
        <w:rPr>
          <w:rFonts w:hint="eastAsia"/>
          <w:color w:val="auto"/>
          <w:lang w:eastAsia="zh-CN"/>
        </w:rPr>
        <w:t>、</w:t>
      </w:r>
      <w:r>
        <w:rPr>
          <w:rFonts w:hint="eastAsia"/>
          <w:color w:val="auto"/>
        </w:rPr>
        <w:t>徐霞</w:t>
      </w:r>
      <w:r>
        <w:rPr>
          <w:rFonts w:hint="eastAsia"/>
          <w:color w:val="auto"/>
          <w:lang w:eastAsia="zh-CN"/>
        </w:rPr>
        <w:t>、</w:t>
      </w:r>
      <w:r>
        <w:rPr>
          <w:rFonts w:hint="eastAsia"/>
          <w:color w:val="auto"/>
        </w:rPr>
        <w:t>张晓金</w:t>
      </w:r>
      <w:r>
        <w:rPr>
          <w:rFonts w:hint="eastAsia"/>
          <w:color w:val="auto"/>
          <w:lang w:eastAsia="zh-CN"/>
        </w:rPr>
        <w:t>、</w:t>
      </w:r>
      <w:r>
        <w:rPr>
          <w:rFonts w:hint="eastAsia"/>
          <w:color w:val="auto"/>
        </w:rPr>
        <w:t>戴云华</w:t>
      </w:r>
      <w:r>
        <w:rPr>
          <w:rFonts w:hint="eastAsia"/>
          <w:color w:val="auto"/>
          <w:lang w:eastAsia="zh-CN"/>
        </w:rPr>
        <w:t>、</w:t>
      </w:r>
      <w:r>
        <w:rPr>
          <w:rFonts w:hint="eastAsia"/>
          <w:color w:val="auto"/>
        </w:rPr>
        <w:t>余花</w:t>
      </w:r>
      <w:r>
        <w:rPr>
          <w:rFonts w:hint="eastAsia"/>
          <w:color w:val="auto"/>
          <w:lang w:eastAsia="zh-CN"/>
        </w:rPr>
        <w:t>。</w:t>
      </w:r>
    </w:p>
    <w:bookmarkEnd w:id="21"/>
    <w:p w14:paraId="13C896CE">
      <w:pPr>
        <w:spacing w:line="20" w:lineRule="exact"/>
        <w:jc w:val="center"/>
        <w:rPr>
          <w:rFonts w:ascii="黑体" w:hAnsi="黑体" w:eastAsia="黑体"/>
          <w:sz w:val="32"/>
          <w:szCs w:val="32"/>
        </w:rPr>
      </w:pPr>
      <w:bookmarkStart w:id="22" w:name="BookMark4"/>
    </w:p>
    <w:p w14:paraId="69EB4D58">
      <w:pPr>
        <w:spacing w:line="20" w:lineRule="exact"/>
        <w:jc w:val="center"/>
        <w:rPr>
          <w:rFonts w:ascii="黑体" w:hAnsi="黑体" w:eastAsia="黑体"/>
          <w:sz w:val="32"/>
          <w:szCs w:val="32"/>
        </w:rPr>
      </w:pPr>
    </w:p>
    <w:sdt>
      <w:sdtPr>
        <w:tag w:val="NEW_STAND_NAME"/>
        <w:id w:val="595910757"/>
        <w:lock w:val="sdtLocked"/>
        <w:placeholder>
          <w:docPart w:val="F8537652F6734802AA325146ED5BE7C5"/>
        </w:placeholder>
      </w:sdtPr>
      <w:sdtContent>
        <w:sdt>
          <w:sdtPr>
            <w:tag w:val="NEW_STAND_NAME"/>
            <w:id w:val="147482890"/>
            <w:lock w:val="sdtLocked"/>
            <w:placeholder>
              <w:docPart w:val="{e383d274-2006-49c4-a179-d959f09d89b7}"/>
            </w:placeholder>
          </w:sdtPr>
          <w:sdtContent>
            <w:p w14:paraId="7BD7898C">
              <w:pPr>
                <w:pStyle w:val="178"/>
                <w:spacing w:before="3" w:beforeLines="1" w:after="686" w:afterLines="220"/>
              </w:pPr>
              <w:bookmarkStart w:id="23" w:name="NEW_STAND_NAME"/>
              <w:r>
                <w:rPr>
                  <w:rFonts w:hint="eastAsia"/>
                </w:rPr>
                <w:t>地理标志产品  黄天荡清水蟹</w:t>
              </w:r>
            </w:p>
          </w:sdtContent>
        </w:sdt>
      </w:sdtContent>
    </w:sdt>
    <w:bookmarkEnd w:id="23"/>
    <w:p w14:paraId="36583F73">
      <w:pPr>
        <w:pStyle w:val="105"/>
        <w:spacing w:before="312" w:after="312"/>
      </w:pPr>
      <w:bookmarkStart w:id="24" w:name="_Toc26648465"/>
      <w:bookmarkStart w:id="25" w:name="_Toc24884211"/>
      <w:bookmarkStart w:id="26" w:name="_Toc26986771"/>
      <w:bookmarkStart w:id="27" w:name="_Toc17233333"/>
      <w:bookmarkStart w:id="28" w:name="_Toc26986530"/>
      <w:bookmarkStart w:id="29" w:name="_Toc97191423"/>
      <w:bookmarkStart w:id="30" w:name="_Toc26718930"/>
      <w:bookmarkStart w:id="31" w:name="_Toc24884218"/>
      <w:bookmarkStart w:id="32" w:name="_Toc17233325"/>
      <w:r>
        <w:rPr>
          <w:rFonts w:hint="eastAsia"/>
        </w:rPr>
        <w:t>范围</w:t>
      </w:r>
      <w:bookmarkEnd w:id="24"/>
      <w:bookmarkEnd w:id="25"/>
      <w:bookmarkEnd w:id="26"/>
      <w:bookmarkEnd w:id="27"/>
      <w:bookmarkEnd w:id="28"/>
      <w:bookmarkEnd w:id="29"/>
      <w:bookmarkEnd w:id="30"/>
      <w:bookmarkEnd w:id="31"/>
      <w:bookmarkEnd w:id="32"/>
    </w:p>
    <w:p w14:paraId="254609FE">
      <w:pPr>
        <w:widowControl/>
        <w:autoSpaceDE w:val="0"/>
        <w:autoSpaceDN w:val="0"/>
        <w:adjustRightInd/>
        <w:spacing w:line="240" w:lineRule="auto"/>
        <w:ind w:firstLine="420" w:firstLineChars="200"/>
        <w:rPr>
          <w:rFonts w:hint="eastAsia" w:ascii="宋体" w:hAnsi="Times New Roman"/>
          <w:kern w:val="0"/>
          <w:szCs w:val="20"/>
        </w:rPr>
      </w:pPr>
      <w:bookmarkStart w:id="33" w:name="_Toc24884219"/>
      <w:bookmarkStart w:id="34" w:name="_Toc17233326"/>
      <w:bookmarkStart w:id="35" w:name="_Toc17233334"/>
      <w:bookmarkStart w:id="36" w:name="_Toc26648466"/>
      <w:bookmarkStart w:id="37" w:name="_Toc24884212"/>
      <w:r>
        <w:rPr>
          <w:rFonts w:hint="eastAsia" w:ascii="宋体" w:hAnsi="Times New Roman"/>
          <w:kern w:val="0"/>
          <w:szCs w:val="20"/>
        </w:rPr>
        <w:t>本文件规定了地理标志产品 黄天荡清水蟹的保护范围、产地环境、养殖管理、 质量要求、检验方法、检验规则、标志、包装、运输和贮存。</w:t>
      </w:r>
    </w:p>
    <w:p w14:paraId="4193B36E">
      <w:pPr>
        <w:widowControl/>
        <w:autoSpaceDE w:val="0"/>
        <w:autoSpaceDN w:val="0"/>
        <w:adjustRightInd/>
        <w:spacing w:line="240" w:lineRule="auto"/>
        <w:ind w:firstLine="420" w:firstLineChars="200"/>
        <w:rPr>
          <w:rFonts w:hint="eastAsia" w:ascii="宋体" w:hAnsi="Times New Roman" w:eastAsia="宋体"/>
          <w:kern w:val="0"/>
          <w:szCs w:val="20"/>
          <w:lang w:eastAsia="zh-CN"/>
        </w:rPr>
      </w:pPr>
      <w:r>
        <w:rPr>
          <w:rFonts w:hint="eastAsia" w:ascii="宋体" w:hAnsi="Times New Roman"/>
          <w:kern w:val="0"/>
          <w:szCs w:val="20"/>
        </w:rPr>
        <w:t>本文件适用于根据《地理标志产品保护规定》批准保护的黄天荡清水蟹</w:t>
      </w:r>
      <w:r>
        <w:rPr>
          <w:rFonts w:hint="eastAsia" w:ascii="宋体" w:hAnsi="Times New Roman"/>
          <w:color w:val="auto"/>
          <w:kern w:val="0"/>
          <w:szCs w:val="20"/>
          <w:lang w:eastAsia="zh-CN"/>
        </w:rPr>
        <w:t>。</w:t>
      </w:r>
    </w:p>
    <w:p w14:paraId="64912D93">
      <w:pPr>
        <w:pStyle w:val="105"/>
        <w:spacing w:before="312" w:after="312"/>
      </w:pPr>
      <w:bookmarkStart w:id="38" w:name="_Toc26986772"/>
      <w:bookmarkStart w:id="39" w:name="_Toc26718931"/>
      <w:bookmarkStart w:id="40" w:name="_Toc26986531"/>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ascii="宋体" w:hAnsi="Times New Roman"/>
        </w:rPr>
        <w:id w:val="715848253"/>
        <w:placeholder>
          <w:docPart w:val="1B497DD45A804E4587D5B778088297E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Times New Roman"/>
        </w:rPr>
      </w:sdtEndPr>
      <w:sdtContent>
        <w:p w14:paraId="13494BF2">
          <w:pPr>
            <w:widowControl/>
            <w:autoSpaceDE w:val="0"/>
            <w:autoSpaceDN w:val="0"/>
            <w:adjustRightInd/>
            <w:spacing w:line="240" w:lineRule="auto"/>
            <w:ind w:firstLine="420" w:firstLineChars="200"/>
            <w:rPr>
              <w:rFonts w:ascii="宋体" w:hAnsi="Times New Roman"/>
            </w:rPr>
          </w:pPr>
          <w:r>
            <w:rPr>
              <w:rFonts w:hint="eastAsia" w:ascii="宋体" w:hAnsi="Times New Roman" w:eastAsia="宋体" w:cs="Times New Roman"/>
              <w:kern w:val="2"/>
              <w:sz w:val="21"/>
              <w:szCs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3281C5">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GB/T 191   包装储运图示标志</w:t>
      </w:r>
    </w:p>
    <w:p w14:paraId="4346E7E2">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 2733    食品安全国家标准 鲜、冻动物性水产品</w:t>
      </w:r>
    </w:p>
    <w:p w14:paraId="20424037">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 5009.5  食品安全国家标准 食品中蛋白质的测定</w:t>
      </w:r>
    </w:p>
    <w:p w14:paraId="0E1A61CF">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 5009.6  食品安全国家标准 食品中脂肪的测定</w:t>
      </w:r>
    </w:p>
    <w:p w14:paraId="640460FE">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 11607   渔业水质标准</w:t>
      </w:r>
    </w:p>
    <w:p w14:paraId="4AA8C7BC">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 13078   饲料卫生标准</w:t>
      </w:r>
    </w:p>
    <w:p w14:paraId="3AD1A9DC">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GB/T 17924 地理标志产品标准通用要求</w:t>
      </w:r>
    </w:p>
    <w:p w14:paraId="04EFD013">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NY/T 841   绿色食品 渔用配合饲料安全限量</w:t>
      </w:r>
    </w:p>
    <w:p w14:paraId="244B28AD">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NY/T 391   绿色食品 产地环境条件</w:t>
      </w:r>
    </w:p>
    <w:p w14:paraId="493583B4">
      <w:pPr>
        <w:widowControl/>
        <w:autoSpaceDE w:val="0"/>
        <w:autoSpaceDN w:val="0"/>
        <w:adjustRightInd/>
        <w:spacing w:line="240" w:lineRule="auto"/>
        <w:ind w:firstLine="420" w:firstLineChars="200"/>
        <w:rPr>
          <w:rFonts w:hint="eastAsia" w:ascii="宋体" w:hAnsi="Times New Roman"/>
          <w:kern w:val="0"/>
          <w:szCs w:val="20"/>
        </w:rPr>
      </w:pPr>
      <w:r>
        <w:rPr>
          <w:rFonts w:hint="eastAsia" w:ascii="宋体" w:hAnsi="Times New Roman"/>
          <w:kern w:val="0"/>
          <w:szCs w:val="20"/>
        </w:rPr>
        <w:t>NY/T 471   绿色食品 饲料及饲料添加剂使用准则</w:t>
      </w:r>
    </w:p>
    <w:p w14:paraId="32C087FE">
      <w:pPr>
        <w:pStyle w:val="105"/>
        <w:spacing w:before="312" w:after="312"/>
      </w:pPr>
      <w:bookmarkStart w:id="42" w:name="_Toc97191425"/>
      <w:r>
        <w:rPr>
          <w:rFonts w:hint="eastAsia"/>
        </w:rPr>
        <w:t>术语和定义</w:t>
      </w:r>
      <w:bookmarkEnd w:id="42"/>
    </w:p>
    <w:sdt>
      <w:sdtPr>
        <w:rPr>
          <w:rFonts w:ascii="宋体" w:hAnsi="Times New Roman"/>
          <w:kern w:val="0"/>
          <w:szCs w:val="20"/>
        </w:rPr>
        <w:id w:val="-1909835108"/>
        <w:placeholder>
          <w:docPart w:val="46D339B8D55240E2BE997554B0F6AA0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宋体" w:hAnsi="Times New Roman"/>
          <w:kern w:val="0"/>
          <w:szCs w:val="20"/>
        </w:rPr>
      </w:sdtEndPr>
      <w:sdtContent>
        <w:p w14:paraId="09E9BD19">
          <w:pPr>
            <w:widowControl/>
            <w:autoSpaceDE w:val="0"/>
            <w:autoSpaceDN w:val="0"/>
            <w:adjustRightInd/>
            <w:spacing w:line="240" w:lineRule="auto"/>
            <w:ind w:firstLine="420" w:firstLineChars="200"/>
            <w:rPr>
              <w:rFonts w:ascii="宋体" w:hAnsi="Times New Roman"/>
              <w:kern w:val="0"/>
              <w:szCs w:val="20"/>
            </w:rPr>
          </w:pPr>
          <w:bookmarkStart w:id="43" w:name="_Toc26986532"/>
          <w:bookmarkEnd w:id="43"/>
          <w:r>
            <w:rPr>
              <w:rFonts w:ascii="宋体" w:hAnsi="Times New Roman"/>
              <w:kern w:val="0"/>
              <w:szCs w:val="20"/>
            </w:rPr>
            <w:t>下列术语和定义适用于本文件。</w:t>
          </w:r>
        </w:p>
      </w:sdtContent>
    </w:sdt>
    <w:p w14:paraId="67CC99E1">
      <w:pPr>
        <w:pStyle w:val="106"/>
        <w:spacing w:before="156" w:after="156"/>
      </w:pPr>
    </w:p>
    <w:p w14:paraId="1E208268">
      <w:pPr>
        <w:pStyle w:val="106"/>
        <w:numPr>
          <w:ilvl w:val="0"/>
          <w:numId w:val="0"/>
        </w:numPr>
        <w:spacing w:before="156" w:after="156"/>
        <w:ind w:firstLine="420" w:firstLineChars="200"/>
      </w:pPr>
      <w:r>
        <w:rPr>
          <w:rFonts w:hint="eastAsia"/>
        </w:rPr>
        <w:t>黄天荡清水蟹  Huang Tiandang Clear water crab</w:t>
      </w:r>
    </w:p>
    <w:p w14:paraId="0FB1DA19">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在本文件第4章规定范围内自然生长或采用生态养殖方式养成，其质量符合本文件要求的清水蟹活体。</w:t>
      </w:r>
    </w:p>
    <w:p w14:paraId="44EB1705">
      <w:pPr>
        <w:pStyle w:val="105"/>
        <w:spacing w:before="312" w:after="312"/>
      </w:pPr>
      <w:r>
        <w:rPr>
          <w:rFonts w:hint="eastAsia"/>
        </w:rPr>
        <w:t>地理标志产品保护范围</w:t>
      </w:r>
    </w:p>
    <w:p w14:paraId="3DD12DCF">
      <w:pPr>
        <w:pStyle w:val="16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rPr>
      </w:pPr>
      <w:r>
        <w:rPr>
          <w:rFonts w:hint="eastAsia"/>
        </w:rPr>
        <w:t>黄天荡清水蟹地理标志产品保护产地范围为江苏省常州市天宁区现辖郑陆镇黄天荡村、羌家村、新沟村，地理坐标为北纬31°51＇31.12＂度至31°49＇42.96＂度，东经120°05＇49.18＂度至120°07＇31.93＂度。</w:t>
      </w:r>
    </w:p>
    <w:p w14:paraId="5F0B5101">
      <w:pPr>
        <w:pStyle w:val="163"/>
        <w:keepNext w:val="0"/>
        <w:keepLines w:val="0"/>
        <w:pageBreakBefore w:val="0"/>
        <w:widowControl/>
        <w:numPr>
          <w:ilvl w:val="2"/>
          <w:numId w:val="0"/>
        </w:numPr>
        <w:kinsoku/>
        <w:wordWrap/>
        <w:overflowPunct/>
        <w:topLinePunct w:val="0"/>
        <w:autoSpaceDE/>
        <w:autoSpaceDN/>
        <w:bidi w:val="0"/>
        <w:adjustRightInd/>
        <w:snapToGrid/>
        <w:ind w:leftChars="0" w:firstLine="420" w:firstLineChars="200"/>
        <w:textAlignment w:val="auto"/>
        <w:rPr>
          <w:rFonts w:hint="eastAsia"/>
        </w:rPr>
      </w:pPr>
      <w:r>
        <w:rPr>
          <w:rFonts w:hint="eastAsia"/>
        </w:rPr>
        <w:t>地理标志产品保护范围见附录A。</w:t>
      </w:r>
    </w:p>
    <w:p w14:paraId="6A7B3E68">
      <w:pPr>
        <w:pStyle w:val="105"/>
        <w:spacing w:before="312" w:after="312"/>
      </w:pPr>
      <w:r>
        <w:rPr>
          <w:rFonts w:hint="eastAsia"/>
          <w:lang w:eastAsia="zh-CN"/>
        </w:rPr>
        <w:t>产地环境</w:t>
      </w:r>
    </w:p>
    <w:p w14:paraId="70BA3EE2">
      <w:pPr>
        <w:pStyle w:val="106"/>
        <w:spacing w:before="156" w:after="156"/>
      </w:pPr>
      <w:r>
        <w:rPr>
          <w:rFonts w:hint="eastAsia"/>
          <w:lang w:eastAsia="zh-CN"/>
        </w:rPr>
        <w:t>气候</w:t>
      </w:r>
    </w:p>
    <w:p w14:paraId="24837663">
      <w:pPr>
        <w:pStyle w:val="57"/>
        <w:keepNext w:val="0"/>
        <w:keepLines w:val="0"/>
        <w:pageBreakBefore w:val="0"/>
        <w:widowControl/>
        <w:kinsoku/>
        <w:wordWrap/>
        <w:overflowPunct/>
        <w:topLinePunct w:val="0"/>
        <w:autoSpaceDE w:val="0"/>
        <w:autoSpaceDN w:val="0"/>
        <w:bidi w:val="0"/>
        <w:adjustRightInd/>
        <w:snapToGrid/>
        <w:textAlignment w:val="auto"/>
        <w:rPr>
          <w:rFonts w:hint="eastAsia"/>
        </w:rPr>
      </w:pPr>
      <w:r>
        <w:rPr>
          <w:rFonts w:hint="eastAsia"/>
        </w:rPr>
        <w:t>养殖地区属北亚热带季风气候， 具有温和湿润、雨量充沛、四季分明、光照充足、季风明显等气候 特点。全年无霜期约 233 天，年平均气温约 16℃。</w:t>
      </w:r>
    </w:p>
    <w:p w14:paraId="392B1721">
      <w:pPr>
        <w:pStyle w:val="106"/>
        <w:spacing w:before="156" w:after="156"/>
      </w:pPr>
      <w:r>
        <w:rPr>
          <w:rFonts w:hint="eastAsia"/>
          <w:lang w:eastAsia="zh-CN"/>
        </w:rPr>
        <w:t>土壤</w:t>
      </w:r>
    </w:p>
    <w:p w14:paraId="5D9ACD0F">
      <w:pPr>
        <w:pStyle w:val="57"/>
        <w:rPr>
          <w:rFonts w:hint="eastAsia"/>
        </w:rPr>
      </w:pPr>
      <w:r>
        <w:rPr>
          <w:rFonts w:hint="eastAsia"/>
        </w:rPr>
        <w:t>产地环境符合 NY/T 5361 的规定。</w:t>
      </w:r>
    </w:p>
    <w:p w14:paraId="24ECADF7">
      <w:pPr>
        <w:pStyle w:val="106"/>
        <w:spacing w:before="156" w:after="156"/>
      </w:pPr>
      <w:r>
        <w:rPr>
          <w:rFonts w:hint="eastAsia"/>
          <w:lang w:eastAsia="zh-CN"/>
        </w:rPr>
        <w:t>水质</w:t>
      </w:r>
    </w:p>
    <w:p w14:paraId="6ADA2205">
      <w:pPr>
        <w:pStyle w:val="57"/>
        <w:rPr>
          <w:rFonts w:hint="eastAsia"/>
        </w:rPr>
      </w:pPr>
      <w:r>
        <w:rPr>
          <w:rFonts w:hint="eastAsia"/>
        </w:rPr>
        <w:t>水域水质清新无污染，符合 GB 11607 的要求。</w:t>
      </w:r>
    </w:p>
    <w:p w14:paraId="127E8F66">
      <w:pPr>
        <w:pStyle w:val="105"/>
        <w:spacing w:before="312" w:after="312"/>
      </w:pPr>
      <w:r>
        <w:rPr>
          <w:rFonts w:hint="eastAsia"/>
          <w:lang w:eastAsia="zh-CN"/>
        </w:rPr>
        <w:t>养殖技术</w:t>
      </w:r>
    </w:p>
    <w:p w14:paraId="1A85315D">
      <w:pPr>
        <w:pStyle w:val="106"/>
        <w:spacing w:before="156" w:after="156"/>
      </w:pPr>
      <w:r>
        <w:rPr>
          <w:rFonts w:hint="eastAsia"/>
          <w:lang w:eastAsia="zh-CN"/>
        </w:rPr>
        <w:t>蟹种</w:t>
      </w:r>
    </w:p>
    <w:p w14:paraId="4C418A6B">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亲本为长江水系中华绒螯蟹，主要从黄天荡清水蟹产地选择；大眼幼体经由定点的蟹苗繁育场生产， 一龄蟹种由黄天荡水域或与其相通的水系的蟹种培育基地培育而成，规格为 80 只/kg～160 只/kg。</w:t>
      </w:r>
    </w:p>
    <w:p w14:paraId="7E84336A">
      <w:pPr>
        <w:pStyle w:val="106"/>
        <w:spacing w:before="156" w:after="156"/>
      </w:pPr>
      <w:r>
        <w:rPr>
          <w:spacing w:val="-1"/>
          <w:sz w:val="21"/>
          <w:szCs w:val="21"/>
        </w:rPr>
        <w:t>饲养周期</w:t>
      </w:r>
    </w:p>
    <w:p w14:paraId="168864A0">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从蟹种投放到商品蟹上市，在保护区范围内连续饲养时间不得低于 220 天。</w:t>
      </w:r>
    </w:p>
    <w:p w14:paraId="4DE576C5">
      <w:pPr>
        <w:pStyle w:val="106"/>
        <w:spacing w:before="156" w:after="156"/>
      </w:pPr>
      <w:r>
        <w:rPr>
          <w:color w:val="auto"/>
          <w:spacing w:val="-1"/>
          <w:sz w:val="21"/>
          <w:szCs w:val="21"/>
          <w:highlight w:val="none"/>
        </w:rPr>
        <w:t>蟹种放养</w:t>
      </w:r>
    </w:p>
    <w:p w14:paraId="0AF72279">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每年1至3月放苗，规格为 80 只/kg～160 只/kg 的扣蟹，放养密度 800只/667m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～1200只 /667m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 xml:space="preserve"> 。尽量放养同规格同批次苗种，一次放足，同时可套养适量的青虾、罗氏沼虾等。</w:t>
      </w:r>
    </w:p>
    <w:p w14:paraId="3EBDCF7C">
      <w:pPr>
        <w:pStyle w:val="106"/>
        <w:spacing w:before="156" w:after="156"/>
      </w:pPr>
      <w:r>
        <w:rPr>
          <w:rFonts w:hint="eastAsia"/>
          <w:lang w:eastAsia="zh-CN"/>
        </w:rPr>
        <w:t>饲养管理</w:t>
      </w:r>
    </w:p>
    <w:p w14:paraId="3BF93CAE">
      <w:pPr>
        <w:pStyle w:val="57"/>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投苗前栽种伊乐藻、轮叶黑藻等水草，水草覆盖率以40%～60%为宜，定期刈割维护。在利用天然饵料基础上，以投喂河蟹专用全价配合饲料为主，严禁使用国家禁用的投入品。</w:t>
      </w:r>
    </w:p>
    <w:p w14:paraId="27427F7A">
      <w:pPr>
        <w:pStyle w:val="57"/>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饲料应符合GB 13078和NY/T 841-2021的规定。</w:t>
      </w:r>
    </w:p>
    <w:p w14:paraId="4343FFBB">
      <w:pPr>
        <w:pStyle w:val="105"/>
        <w:spacing w:before="312" w:after="312"/>
      </w:pPr>
      <w:r>
        <w:rPr>
          <w:rFonts w:hint="eastAsia"/>
          <w:lang w:eastAsia="zh-CN"/>
        </w:rPr>
        <w:t>质量要求</w:t>
      </w:r>
    </w:p>
    <w:p w14:paraId="0A92C213">
      <w:pPr>
        <w:pStyle w:val="106"/>
        <w:spacing w:before="156" w:after="156"/>
      </w:pPr>
      <w:r>
        <w:rPr>
          <w:rFonts w:hint="eastAsia"/>
          <w:lang w:eastAsia="zh-CN"/>
        </w:rPr>
        <w:t>感官特征</w:t>
      </w:r>
    </w:p>
    <w:p w14:paraId="3A1DC34C">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黄天荡清水蟹鳃丝清晰、洁净。蟹爪呈黄色，蟹体肥厚、活泼有力、反应敏捷，蟹脐洁白，膏腴丰满，肉质细嫩，味道鲜美，带甜味。</w:t>
      </w:r>
    </w:p>
    <w:p w14:paraId="340BD4A2">
      <w:pPr>
        <w:pStyle w:val="106"/>
        <w:spacing w:before="156" w:after="156"/>
      </w:pPr>
      <w:r>
        <w:rPr>
          <w:rFonts w:hint="eastAsia"/>
          <w:lang w:eastAsia="zh-CN"/>
        </w:rPr>
        <w:t>等级指标</w:t>
      </w:r>
    </w:p>
    <w:p w14:paraId="726AFD39">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sectPr>
          <w:pgSz w:w="11906" w:h="16838"/>
          <w:pgMar w:top="1928" w:right="1134" w:bottom="1134" w:left="1134" w:header="1418" w:footer="1134" w:gutter="284"/>
          <w:cols w:space="425" w:num="1"/>
          <w:formProt w:val="0"/>
          <w:docGrid w:type="lines" w:linePitch="312" w:charSpace="0"/>
        </w:sectPr>
      </w:pPr>
      <w:r>
        <w:rPr>
          <w:rFonts w:hint="eastAsia" w:ascii="宋体" w:hAnsi="Times New Roman" w:eastAsia="宋体" w:cs="Times New Roman"/>
          <w:kern w:val="0"/>
          <w:sz w:val="21"/>
          <w:szCs w:val="20"/>
          <w:lang w:val="en-US" w:eastAsia="zh-CN" w:bidi="ar-SA"/>
        </w:rPr>
        <w:t>黄天荡清水蟹按个体重的不同，分成特级、一级、二级。等级指标应符合表1的规定。</w:t>
      </w:r>
    </w:p>
    <w:p w14:paraId="7A0F10B4">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firstLine="420" w:firstLineChars="200"/>
        <w:jc w:val="center"/>
        <w:textAlignment w:val="auto"/>
        <w:rPr>
          <w:rFonts w:hint="eastAsia" w:ascii="黑体" w:hAnsi="黑体" w:eastAsia="黑体" w:cs="黑体"/>
          <w:color w:val="FF0000"/>
          <w:kern w:val="0"/>
          <w:sz w:val="21"/>
          <w:szCs w:val="20"/>
          <w:lang w:val="en-US" w:eastAsia="zh-CN" w:bidi="ar-SA"/>
        </w:rPr>
      </w:pPr>
      <w:bookmarkStart w:id="44" w:name="_GoBack"/>
      <w:bookmarkEnd w:id="44"/>
      <w:r>
        <w:rPr>
          <w:rFonts w:hint="eastAsia" w:ascii="黑体" w:hAnsi="黑体" w:eastAsia="黑体" w:cs="黑体"/>
          <w:kern w:val="0"/>
          <w:sz w:val="21"/>
          <w:szCs w:val="20"/>
          <w:lang w:val="en-US" w:eastAsia="zh-CN" w:bidi="ar-SA"/>
        </w:rPr>
        <w:t xml:space="preserve">表1 等级指标  </w:t>
      </w:r>
    </w:p>
    <w:tbl>
      <w:tblPr>
        <w:tblStyle w:val="232"/>
        <w:tblW w:w="95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15"/>
        <w:gridCol w:w="1918"/>
        <w:gridCol w:w="3823"/>
        <w:gridCol w:w="1918"/>
      </w:tblGrid>
      <w:tr w14:paraId="39BF0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46" w:hRule="atLeast"/>
          <w:tblHeader/>
        </w:trPr>
        <w:tc>
          <w:tcPr>
            <w:tcW w:w="3833" w:type="dxa"/>
            <w:gridSpan w:val="2"/>
            <w:noWrap w:val="0"/>
            <w:vAlign w:val="center"/>
          </w:tcPr>
          <w:p w14:paraId="0D0A908D">
            <w:pPr>
              <w:pStyle w:val="231"/>
              <w:spacing w:before="71" w:line="312" w:lineRule="exact"/>
              <w:jc w:val="center"/>
              <w:rPr>
                <w:rFonts w:hint="eastAsia" w:eastAsia="宋体"/>
                <w:lang w:eastAsia="zh-CN"/>
              </w:rPr>
            </w:pPr>
            <w:r>
              <w:rPr>
                <w:rFonts w:hint="eastAsia"/>
                <w:spacing w:val="-2"/>
                <w:position w:val="9"/>
                <w:lang w:eastAsia="zh-CN"/>
              </w:rPr>
              <w:t>项</w:t>
            </w:r>
            <w:r>
              <w:rPr>
                <w:rFonts w:hint="eastAsia"/>
                <w:spacing w:val="-2"/>
                <w:position w:val="9"/>
                <w:lang w:val="en-US" w:eastAsia="zh-CN"/>
              </w:rPr>
              <w:t xml:space="preserve">  </w:t>
            </w:r>
            <w:r>
              <w:rPr>
                <w:rFonts w:hint="eastAsia"/>
                <w:spacing w:val="-2"/>
                <w:position w:val="9"/>
                <w:lang w:eastAsia="zh-CN"/>
              </w:rPr>
              <w:t>目</w:t>
            </w:r>
          </w:p>
        </w:tc>
        <w:tc>
          <w:tcPr>
            <w:tcW w:w="3823" w:type="dxa"/>
            <w:noWrap w:val="0"/>
            <w:vAlign w:val="center"/>
          </w:tcPr>
          <w:p w14:paraId="49847BD3">
            <w:pPr>
              <w:pStyle w:val="231"/>
              <w:spacing w:before="71" w:line="312" w:lineRule="exact"/>
              <w:jc w:val="center"/>
            </w:pPr>
            <w:r>
              <w:rPr>
                <w:spacing w:val="-2"/>
                <w:position w:val="9"/>
              </w:rPr>
              <w:t>个体重量</w:t>
            </w:r>
            <w:r>
              <w:rPr>
                <w:rFonts w:hint="eastAsia"/>
                <w:spacing w:val="-2"/>
                <w:position w:val="9"/>
                <w:lang w:eastAsia="zh-CN"/>
              </w:rPr>
              <w:t>（</w:t>
            </w:r>
            <w:r>
              <w:rPr>
                <w:rFonts w:hint="eastAsia"/>
                <w:spacing w:val="-2"/>
                <w:position w:val="9"/>
                <w:lang w:val="en-US" w:eastAsia="zh-CN"/>
              </w:rPr>
              <w:t>g</w:t>
            </w:r>
            <w:r>
              <w:rPr>
                <w:rFonts w:hint="eastAsia"/>
                <w:spacing w:val="-2"/>
                <w:position w:val="9"/>
                <w:lang w:eastAsia="zh-CN"/>
              </w:rPr>
              <w:t>）</w:t>
            </w:r>
          </w:p>
        </w:tc>
        <w:tc>
          <w:tcPr>
            <w:tcW w:w="1918" w:type="dxa"/>
            <w:noWrap w:val="0"/>
            <w:vAlign w:val="center"/>
          </w:tcPr>
          <w:p w14:paraId="7ACF4F1F">
            <w:pPr>
              <w:pStyle w:val="231"/>
              <w:spacing w:before="71" w:line="312" w:lineRule="exact"/>
              <w:jc w:val="center"/>
              <w:rPr>
                <w:rFonts w:hint="eastAsia" w:eastAsia="宋体"/>
                <w:lang w:eastAsia="zh-CN"/>
              </w:rPr>
            </w:pPr>
            <w:r>
              <w:rPr>
                <w:spacing w:val="-2"/>
                <w:position w:val="9"/>
              </w:rPr>
              <w:t>残肢率</w:t>
            </w:r>
            <w:r>
              <w:rPr>
                <w:rFonts w:hint="eastAsia"/>
                <w:spacing w:val="-2"/>
                <w:position w:val="9"/>
                <w:lang w:eastAsia="zh-CN"/>
              </w:rPr>
              <w:t>（</w:t>
            </w:r>
            <w:r>
              <w:rPr>
                <w:rFonts w:hint="eastAsia"/>
                <w:spacing w:val="-2"/>
                <w:position w:val="9"/>
                <w:lang w:val="en-US" w:eastAsia="zh-CN"/>
              </w:rPr>
              <w:t>%</w:t>
            </w:r>
            <w:r>
              <w:rPr>
                <w:rFonts w:hint="eastAsia"/>
                <w:spacing w:val="-2"/>
                <w:position w:val="9"/>
                <w:lang w:eastAsia="zh-CN"/>
              </w:rPr>
              <w:t>）</w:t>
            </w:r>
          </w:p>
        </w:tc>
      </w:tr>
      <w:tr w14:paraId="365F1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16" w:hRule="atLeast"/>
          <w:tblHeader/>
        </w:trPr>
        <w:tc>
          <w:tcPr>
            <w:tcW w:w="1915" w:type="dxa"/>
            <w:vMerge w:val="restart"/>
            <w:tcBorders>
              <w:bottom w:val="nil"/>
            </w:tcBorders>
            <w:noWrap w:val="0"/>
            <w:vAlign w:val="top"/>
          </w:tcPr>
          <w:p w14:paraId="0F0DAB66">
            <w:pPr>
              <w:pStyle w:val="231"/>
              <w:spacing w:before="228" w:line="220" w:lineRule="auto"/>
              <w:ind w:left="782"/>
            </w:pPr>
            <w:r>
              <w:rPr>
                <w:spacing w:val="-2"/>
              </w:rPr>
              <w:t>特级</w:t>
            </w:r>
          </w:p>
        </w:tc>
        <w:tc>
          <w:tcPr>
            <w:tcW w:w="1918" w:type="dxa"/>
            <w:noWrap w:val="0"/>
            <w:vAlign w:val="top"/>
          </w:tcPr>
          <w:p w14:paraId="26821111">
            <w:pPr>
              <w:pStyle w:val="231"/>
              <w:spacing w:before="67" w:line="220" w:lineRule="auto"/>
              <w:ind w:left="782"/>
            </w:pPr>
            <w:r>
              <w:rPr>
                <w:spacing w:val="-2"/>
              </w:rPr>
              <w:t>雄蟹</w:t>
            </w:r>
          </w:p>
        </w:tc>
        <w:tc>
          <w:tcPr>
            <w:tcW w:w="3823" w:type="dxa"/>
            <w:noWrap w:val="0"/>
            <w:vAlign w:val="top"/>
          </w:tcPr>
          <w:p w14:paraId="6DEC6AE0">
            <w:pPr>
              <w:pStyle w:val="231"/>
              <w:spacing w:before="67" w:line="238" w:lineRule="auto"/>
              <w:ind w:left="1707"/>
            </w:pPr>
            <w:r>
              <w:rPr>
                <w:spacing w:val="-5"/>
              </w:rPr>
              <w:t>≥250</w:t>
            </w:r>
          </w:p>
        </w:tc>
        <w:tc>
          <w:tcPr>
            <w:tcW w:w="1918" w:type="dxa"/>
            <w:vMerge w:val="restart"/>
            <w:tcBorders>
              <w:bottom w:val="nil"/>
            </w:tcBorders>
            <w:noWrap w:val="0"/>
            <w:vAlign w:val="top"/>
          </w:tcPr>
          <w:p w14:paraId="30BB8F19">
            <w:pPr>
              <w:spacing w:line="269" w:lineRule="auto"/>
              <w:rPr>
                <w:rFonts w:ascii="Arial"/>
                <w:sz w:val="21"/>
              </w:rPr>
            </w:pPr>
          </w:p>
          <w:p w14:paraId="06EBA609">
            <w:pPr>
              <w:spacing w:line="270" w:lineRule="auto"/>
              <w:rPr>
                <w:rFonts w:ascii="Arial"/>
                <w:sz w:val="21"/>
              </w:rPr>
            </w:pPr>
          </w:p>
          <w:p w14:paraId="73DD5A50">
            <w:pPr>
              <w:spacing w:line="270" w:lineRule="auto"/>
              <w:rPr>
                <w:rFonts w:ascii="Arial"/>
                <w:sz w:val="21"/>
              </w:rPr>
            </w:pPr>
          </w:p>
          <w:p w14:paraId="0E603CEA">
            <w:pPr>
              <w:pStyle w:val="231"/>
              <w:spacing w:before="58" w:line="237" w:lineRule="auto"/>
              <w:ind w:left="841"/>
            </w:pPr>
            <w:r>
              <w:rPr>
                <w:spacing w:val="-7"/>
              </w:rPr>
              <w:t>≤4</w:t>
            </w:r>
          </w:p>
        </w:tc>
      </w:tr>
      <w:tr w14:paraId="1A48F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16" w:hRule="atLeast"/>
          <w:tblHeader/>
        </w:trPr>
        <w:tc>
          <w:tcPr>
            <w:tcW w:w="1915" w:type="dxa"/>
            <w:vMerge w:val="continue"/>
            <w:tcBorders>
              <w:top w:val="nil"/>
            </w:tcBorders>
            <w:noWrap w:val="0"/>
            <w:vAlign w:val="top"/>
          </w:tcPr>
          <w:p w14:paraId="6AF4CAB8">
            <w:pPr>
              <w:rPr>
                <w:rFonts w:ascii="Arial"/>
                <w:sz w:val="21"/>
              </w:rPr>
            </w:pPr>
          </w:p>
        </w:tc>
        <w:tc>
          <w:tcPr>
            <w:tcW w:w="1918" w:type="dxa"/>
            <w:noWrap w:val="0"/>
            <w:vAlign w:val="top"/>
          </w:tcPr>
          <w:p w14:paraId="685198A4">
            <w:pPr>
              <w:pStyle w:val="231"/>
              <w:spacing w:before="68" w:line="220" w:lineRule="auto"/>
              <w:ind w:left="783"/>
            </w:pPr>
            <w:r>
              <w:rPr>
                <w:spacing w:val="-3"/>
              </w:rPr>
              <w:t>雌蟹</w:t>
            </w:r>
          </w:p>
        </w:tc>
        <w:tc>
          <w:tcPr>
            <w:tcW w:w="3823" w:type="dxa"/>
            <w:noWrap w:val="0"/>
            <w:vAlign w:val="top"/>
          </w:tcPr>
          <w:p w14:paraId="1AF5F5A1">
            <w:pPr>
              <w:pStyle w:val="231"/>
              <w:spacing w:before="68" w:line="238" w:lineRule="auto"/>
              <w:ind w:left="1707"/>
            </w:pPr>
            <w:r>
              <w:rPr>
                <w:spacing w:val="-5"/>
              </w:rPr>
              <w:t>≥175</w:t>
            </w:r>
          </w:p>
        </w:tc>
        <w:tc>
          <w:tcPr>
            <w:tcW w:w="1918" w:type="dxa"/>
            <w:vMerge w:val="continue"/>
            <w:tcBorders>
              <w:top w:val="nil"/>
              <w:bottom w:val="nil"/>
            </w:tcBorders>
            <w:noWrap w:val="0"/>
            <w:vAlign w:val="top"/>
          </w:tcPr>
          <w:p w14:paraId="6F155EA5">
            <w:pPr>
              <w:rPr>
                <w:rFonts w:ascii="Arial"/>
                <w:sz w:val="21"/>
              </w:rPr>
            </w:pPr>
          </w:p>
        </w:tc>
      </w:tr>
      <w:tr w14:paraId="2BC43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17" w:hRule="atLeast"/>
          <w:tblHeader/>
        </w:trPr>
        <w:tc>
          <w:tcPr>
            <w:tcW w:w="1915" w:type="dxa"/>
            <w:vMerge w:val="restart"/>
            <w:tcBorders>
              <w:bottom w:val="nil"/>
            </w:tcBorders>
            <w:noWrap w:val="0"/>
            <w:vAlign w:val="top"/>
          </w:tcPr>
          <w:p w14:paraId="6FDA0BF7">
            <w:pPr>
              <w:pStyle w:val="231"/>
              <w:spacing w:before="231" w:line="222" w:lineRule="auto"/>
              <w:ind w:left="784"/>
            </w:pPr>
            <w:r>
              <w:rPr>
                <w:spacing w:val="-5"/>
              </w:rPr>
              <w:t>一级</w:t>
            </w:r>
          </w:p>
        </w:tc>
        <w:tc>
          <w:tcPr>
            <w:tcW w:w="1918" w:type="dxa"/>
            <w:noWrap w:val="0"/>
            <w:vAlign w:val="top"/>
          </w:tcPr>
          <w:p w14:paraId="5206A943">
            <w:pPr>
              <w:pStyle w:val="231"/>
              <w:spacing w:before="70" w:line="220" w:lineRule="auto"/>
              <w:ind w:left="782"/>
            </w:pPr>
            <w:r>
              <w:rPr>
                <w:spacing w:val="-2"/>
              </w:rPr>
              <w:t>雄蟹</w:t>
            </w:r>
          </w:p>
        </w:tc>
        <w:tc>
          <w:tcPr>
            <w:tcW w:w="3823" w:type="dxa"/>
            <w:noWrap w:val="0"/>
            <w:vAlign w:val="top"/>
          </w:tcPr>
          <w:p w14:paraId="6DA6DF17">
            <w:pPr>
              <w:pStyle w:val="231"/>
              <w:spacing w:before="98" w:line="183" w:lineRule="auto"/>
              <w:ind w:left="1557"/>
            </w:pPr>
            <w:r>
              <w:rPr>
                <w:spacing w:val="-2"/>
              </w:rPr>
              <w:t>220～249</w:t>
            </w:r>
          </w:p>
        </w:tc>
        <w:tc>
          <w:tcPr>
            <w:tcW w:w="1918" w:type="dxa"/>
            <w:vMerge w:val="continue"/>
            <w:tcBorders>
              <w:top w:val="nil"/>
              <w:bottom w:val="nil"/>
            </w:tcBorders>
            <w:noWrap w:val="0"/>
            <w:vAlign w:val="top"/>
          </w:tcPr>
          <w:p w14:paraId="096BC115">
            <w:pPr>
              <w:rPr>
                <w:rFonts w:ascii="Arial"/>
                <w:sz w:val="21"/>
              </w:rPr>
            </w:pPr>
          </w:p>
        </w:tc>
      </w:tr>
      <w:tr w14:paraId="4A341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16" w:hRule="atLeast"/>
          <w:tblHeader/>
        </w:trPr>
        <w:tc>
          <w:tcPr>
            <w:tcW w:w="1915" w:type="dxa"/>
            <w:vMerge w:val="continue"/>
            <w:tcBorders>
              <w:top w:val="nil"/>
            </w:tcBorders>
            <w:noWrap w:val="0"/>
            <w:vAlign w:val="top"/>
          </w:tcPr>
          <w:p w14:paraId="492820D1">
            <w:pPr>
              <w:rPr>
                <w:rFonts w:ascii="Arial"/>
                <w:sz w:val="21"/>
              </w:rPr>
            </w:pPr>
          </w:p>
        </w:tc>
        <w:tc>
          <w:tcPr>
            <w:tcW w:w="1918" w:type="dxa"/>
            <w:noWrap w:val="0"/>
            <w:vAlign w:val="top"/>
          </w:tcPr>
          <w:p w14:paraId="081D543B">
            <w:pPr>
              <w:pStyle w:val="231"/>
              <w:spacing w:before="69" w:line="220" w:lineRule="auto"/>
              <w:ind w:left="783"/>
            </w:pPr>
            <w:r>
              <w:rPr>
                <w:spacing w:val="-3"/>
              </w:rPr>
              <w:t>雌蟹</w:t>
            </w:r>
          </w:p>
        </w:tc>
        <w:tc>
          <w:tcPr>
            <w:tcW w:w="3823" w:type="dxa"/>
            <w:noWrap w:val="0"/>
            <w:vAlign w:val="top"/>
          </w:tcPr>
          <w:p w14:paraId="5BAB908E">
            <w:pPr>
              <w:pStyle w:val="231"/>
              <w:spacing w:before="97" w:line="184" w:lineRule="auto"/>
              <w:ind w:left="1569"/>
            </w:pPr>
            <w:r>
              <w:rPr>
                <w:spacing w:val="-3"/>
              </w:rPr>
              <w:t>150～174</w:t>
            </w:r>
          </w:p>
        </w:tc>
        <w:tc>
          <w:tcPr>
            <w:tcW w:w="1918" w:type="dxa"/>
            <w:vMerge w:val="continue"/>
            <w:tcBorders>
              <w:top w:val="nil"/>
              <w:bottom w:val="nil"/>
            </w:tcBorders>
            <w:noWrap w:val="0"/>
            <w:vAlign w:val="top"/>
          </w:tcPr>
          <w:p w14:paraId="3FCA512C">
            <w:pPr>
              <w:rPr>
                <w:rFonts w:ascii="Arial"/>
                <w:sz w:val="21"/>
              </w:rPr>
            </w:pPr>
          </w:p>
        </w:tc>
      </w:tr>
      <w:tr w14:paraId="31847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16" w:hRule="atLeast"/>
          <w:tblHeader/>
        </w:trPr>
        <w:tc>
          <w:tcPr>
            <w:tcW w:w="1915" w:type="dxa"/>
            <w:vMerge w:val="restart"/>
            <w:tcBorders>
              <w:bottom w:val="nil"/>
            </w:tcBorders>
            <w:noWrap w:val="0"/>
            <w:vAlign w:val="top"/>
          </w:tcPr>
          <w:p w14:paraId="5EE6373F">
            <w:pPr>
              <w:pStyle w:val="231"/>
              <w:spacing w:before="231" w:line="222" w:lineRule="auto"/>
              <w:ind w:left="784"/>
            </w:pPr>
            <w:r>
              <w:rPr>
                <w:spacing w:val="-3"/>
              </w:rPr>
              <w:t>二级</w:t>
            </w:r>
          </w:p>
        </w:tc>
        <w:tc>
          <w:tcPr>
            <w:tcW w:w="1918" w:type="dxa"/>
            <w:noWrap w:val="0"/>
            <w:vAlign w:val="top"/>
          </w:tcPr>
          <w:p w14:paraId="3B7DA99C">
            <w:pPr>
              <w:pStyle w:val="231"/>
              <w:spacing w:before="70" w:line="220" w:lineRule="auto"/>
              <w:ind w:left="782"/>
            </w:pPr>
            <w:r>
              <w:rPr>
                <w:spacing w:val="-2"/>
              </w:rPr>
              <w:t>雄蟹</w:t>
            </w:r>
          </w:p>
        </w:tc>
        <w:tc>
          <w:tcPr>
            <w:tcW w:w="3823" w:type="dxa"/>
            <w:noWrap w:val="0"/>
            <w:vAlign w:val="top"/>
          </w:tcPr>
          <w:p w14:paraId="3D70CC08">
            <w:pPr>
              <w:pStyle w:val="231"/>
              <w:spacing w:before="97" w:line="184" w:lineRule="auto"/>
              <w:ind w:left="1569"/>
            </w:pPr>
            <w:r>
              <w:rPr>
                <w:spacing w:val="-3"/>
              </w:rPr>
              <w:t>150～219</w:t>
            </w:r>
          </w:p>
        </w:tc>
        <w:tc>
          <w:tcPr>
            <w:tcW w:w="1918" w:type="dxa"/>
            <w:vMerge w:val="continue"/>
            <w:tcBorders>
              <w:top w:val="nil"/>
              <w:bottom w:val="nil"/>
            </w:tcBorders>
            <w:noWrap w:val="0"/>
            <w:vAlign w:val="top"/>
          </w:tcPr>
          <w:p w14:paraId="7792A1F1">
            <w:pPr>
              <w:rPr>
                <w:rFonts w:ascii="Arial"/>
                <w:sz w:val="21"/>
              </w:rPr>
            </w:pPr>
          </w:p>
        </w:tc>
      </w:tr>
      <w:tr w14:paraId="358F6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22" w:hRule="atLeast"/>
          <w:tblHeader/>
        </w:trPr>
        <w:tc>
          <w:tcPr>
            <w:tcW w:w="1915" w:type="dxa"/>
            <w:vMerge w:val="continue"/>
            <w:tcBorders>
              <w:top w:val="nil"/>
            </w:tcBorders>
            <w:noWrap w:val="0"/>
            <w:vAlign w:val="top"/>
          </w:tcPr>
          <w:p w14:paraId="23C2E420">
            <w:pPr>
              <w:rPr>
                <w:rFonts w:ascii="Arial"/>
                <w:sz w:val="21"/>
              </w:rPr>
            </w:pPr>
          </w:p>
        </w:tc>
        <w:tc>
          <w:tcPr>
            <w:tcW w:w="1918" w:type="dxa"/>
            <w:noWrap w:val="0"/>
            <w:vAlign w:val="top"/>
          </w:tcPr>
          <w:p w14:paraId="4ECF509F">
            <w:pPr>
              <w:pStyle w:val="231"/>
              <w:spacing w:before="72" w:line="220" w:lineRule="auto"/>
              <w:ind w:left="783"/>
            </w:pPr>
            <w:r>
              <w:rPr>
                <w:spacing w:val="-3"/>
              </w:rPr>
              <w:t>雌蟹</w:t>
            </w:r>
          </w:p>
        </w:tc>
        <w:tc>
          <w:tcPr>
            <w:tcW w:w="3823" w:type="dxa"/>
            <w:noWrap w:val="0"/>
            <w:vAlign w:val="top"/>
          </w:tcPr>
          <w:p w14:paraId="2637BD7D">
            <w:pPr>
              <w:pStyle w:val="231"/>
              <w:spacing w:before="99" w:line="184" w:lineRule="auto"/>
              <w:ind w:left="1569"/>
            </w:pPr>
            <w:r>
              <w:rPr>
                <w:spacing w:val="-3"/>
              </w:rPr>
              <w:t>125～149</w:t>
            </w:r>
          </w:p>
        </w:tc>
        <w:tc>
          <w:tcPr>
            <w:tcW w:w="1918" w:type="dxa"/>
            <w:vMerge w:val="continue"/>
            <w:tcBorders>
              <w:top w:val="nil"/>
            </w:tcBorders>
            <w:noWrap w:val="0"/>
            <w:vAlign w:val="top"/>
          </w:tcPr>
          <w:p w14:paraId="2C3150A8">
            <w:pPr>
              <w:rPr>
                <w:rFonts w:ascii="Arial"/>
                <w:sz w:val="21"/>
              </w:rPr>
            </w:pPr>
          </w:p>
        </w:tc>
      </w:tr>
    </w:tbl>
    <w:p w14:paraId="7DA7ADDE">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default" w:ascii="宋体" w:hAnsi="Times New Roman" w:eastAsia="宋体" w:cs="Times New Roman"/>
          <w:kern w:val="0"/>
          <w:sz w:val="21"/>
          <w:szCs w:val="20"/>
          <w:lang w:val="en-US" w:eastAsia="zh-CN" w:bidi="ar-SA"/>
        </w:rPr>
      </w:pPr>
    </w:p>
    <w:p w14:paraId="6E70B234">
      <w:pPr>
        <w:pStyle w:val="106"/>
        <w:spacing w:before="156" w:after="156"/>
      </w:pPr>
      <w:r>
        <w:rPr>
          <w:rFonts w:hint="eastAsia"/>
          <w:color w:val="auto"/>
          <w:spacing w:val="-1"/>
          <w:sz w:val="21"/>
          <w:szCs w:val="21"/>
          <w:highlight w:val="none"/>
          <w:lang w:eastAsia="zh-CN"/>
        </w:rPr>
        <w:t>理化指标</w:t>
      </w:r>
    </w:p>
    <w:p w14:paraId="64FCBB1B">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9月中旬至11月中旬，蟹体可食部分的理化指标应符合表2 的规定。</w:t>
      </w:r>
    </w:p>
    <w:p w14:paraId="4E75B813">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firstLine="420" w:firstLineChars="200"/>
        <w:jc w:val="center"/>
        <w:textAlignment w:val="auto"/>
        <w:rPr>
          <w:rFonts w:hint="eastAsia"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表2 理化指标</w:t>
      </w:r>
    </w:p>
    <w:tbl>
      <w:tblPr>
        <w:tblStyle w:val="232"/>
        <w:tblW w:w="95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0"/>
        <w:gridCol w:w="3688"/>
        <w:gridCol w:w="4786"/>
      </w:tblGrid>
      <w:tr w14:paraId="59D2A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4788" w:type="dxa"/>
            <w:gridSpan w:val="2"/>
            <w:noWrap w:val="0"/>
            <w:vAlign w:val="center"/>
          </w:tcPr>
          <w:p w14:paraId="0DA7DEC3">
            <w:pPr>
              <w:pStyle w:val="231"/>
              <w:spacing w:before="70" w:line="221" w:lineRule="auto"/>
              <w:jc w:val="center"/>
            </w:pPr>
            <w:r>
              <w:rPr>
                <w:spacing w:val="-3"/>
              </w:rPr>
              <w:t>项</w:t>
            </w:r>
            <w:r>
              <w:rPr>
                <w:rFonts w:hint="eastAsia"/>
                <w:spacing w:val="-3"/>
                <w:lang w:val="en-US" w:eastAsia="zh-CN"/>
              </w:rPr>
              <w:t xml:space="preserve">  </w:t>
            </w:r>
            <w:r>
              <w:rPr>
                <w:spacing w:val="-3"/>
              </w:rPr>
              <w:t>目</w:t>
            </w:r>
          </w:p>
        </w:tc>
        <w:tc>
          <w:tcPr>
            <w:tcW w:w="4786" w:type="dxa"/>
            <w:noWrap w:val="0"/>
            <w:vAlign w:val="center"/>
          </w:tcPr>
          <w:p w14:paraId="7E43B42C">
            <w:pPr>
              <w:pStyle w:val="231"/>
              <w:spacing w:before="70" w:line="221" w:lineRule="auto"/>
              <w:jc w:val="center"/>
            </w:pPr>
            <w:r>
              <w:rPr>
                <w:spacing w:val="-3"/>
              </w:rPr>
              <w:t>指</w:t>
            </w:r>
            <w:r>
              <w:rPr>
                <w:rFonts w:hint="eastAsia"/>
                <w:spacing w:val="-3"/>
                <w:lang w:val="en-US" w:eastAsia="zh-CN"/>
              </w:rPr>
              <w:t xml:space="preserve">  </w:t>
            </w:r>
            <w:r>
              <w:rPr>
                <w:spacing w:val="-3"/>
              </w:rPr>
              <w:t>标</w:t>
            </w:r>
          </w:p>
        </w:tc>
      </w:tr>
      <w:tr w14:paraId="51227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00" w:type="dxa"/>
            <w:vMerge w:val="restart"/>
            <w:tcBorders>
              <w:bottom w:val="nil"/>
            </w:tcBorders>
            <w:noWrap w:val="0"/>
            <w:vAlign w:val="top"/>
          </w:tcPr>
          <w:p w14:paraId="21D43C9D">
            <w:pPr>
              <w:pStyle w:val="231"/>
              <w:spacing w:before="229" w:line="220" w:lineRule="auto"/>
              <w:ind w:left="374"/>
            </w:pPr>
            <w:r>
              <w:rPr>
                <w:spacing w:val="-2"/>
              </w:rPr>
              <w:t>雄</w:t>
            </w:r>
            <w:r>
              <w:rPr>
                <w:rFonts w:hint="eastAsia"/>
                <w:spacing w:val="-2"/>
                <w:lang w:val="en-US" w:eastAsia="zh-CN"/>
              </w:rPr>
              <w:t xml:space="preserve"> </w:t>
            </w:r>
            <w:r>
              <w:rPr>
                <w:spacing w:val="-2"/>
              </w:rPr>
              <w:t>蟹</w:t>
            </w:r>
          </w:p>
        </w:tc>
        <w:tc>
          <w:tcPr>
            <w:tcW w:w="3688" w:type="dxa"/>
            <w:noWrap w:val="0"/>
            <w:vAlign w:val="top"/>
          </w:tcPr>
          <w:p w14:paraId="4DA45F37">
            <w:pPr>
              <w:pStyle w:val="231"/>
              <w:spacing w:before="68" w:line="221" w:lineRule="auto"/>
              <w:ind w:left="405"/>
            </w:pPr>
            <w:r>
              <w:rPr>
                <w:spacing w:val="7"/>
              </w:rPr>
              <w:t>粗蛋白/%                    ≥</w:t>
            </w:r>
          </w:p>
        </w:tc>
        <w:tc>
          <w:tcPr>
            <w:tcW w:w="4786" w:type="dxa"/>
            <w:noWrap w:val="0"/>
            <w:vAlign w:val="top"/>
          </w:tcPr>
          <w:p w14:paraId="3A6260E1">
            <w:pPr>
              <w:pStyle w:val="231"/>
              <w:spacing w:before="96" w:line="184" w:lineRule="auto"/>
              <w:ind w:left="2228"/>
            </w:pPr>
            <w:r>
              <w:rPr>
                <w:spacing w:val="-4"/>
              </w:rPr>
              <w:t>15.5</w:t>
            </w:r>
          </w:p>
        </w:tc>
      </w:tr>
      <w:tr w14:paraId="72E2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100" w:type="dxa"/>
            <w:vMerge w:val="continue"/>
            <w:tcBorders>
              <w:top w:val="nil"/>
            </w:tcBorders>
            <w:noWrap w:val="0"/>
            <w:vAlign w:val="top"/>
          </w:tcPr>
          <w:p w14:paraId="2159E27D">
            <w:pPr>
              <w:rPr>
                <w:rFonts w:ascii="Arial"/>
                <w:sz w:val="21"/>
              </w:rPr>
            </w:pPr>
          </w:p>
        </w:tc>
        <w:tc>
          <w:tcPr>
            <w:tcW w:w="3688" w:type="dxa"/>
            <w:noWrap w:val="0"/>
            <w:vAlign w:val="top"/>
          </w:tcPr>
          <w:p w14:paraId="309B4B64">
            <w:pPr>
              <w:pStyle w:val="231"/>
              <w:spacing w:before="68" w:line="221" w:lineRule="auto"/>
              <w:ind w:left="405"/>
            </w:pPr>
            <w:r>
              <w:rPr>
                <w:spacing w:val="7"/>
              </w:rPr>
              <w:t>粗脂肪/%                    ≥</w:t>
            </w:r>
          </w:p>
        </w:tc>
        <w:tc>
          <w:tcPr>
            <w:tcW w:w="4786" w:type="dxa"/>
            <w:noWrap w:val="0"/>
            <w:vAlign w:val="top"/>
          </w:tcPr>
          <w:p w14:paraId="757F69D1">
            <w:pPr>
              <w:pStyle w:val="231"/>
              <w:spacing w:before="96" w:line="183" w:lineRule="auto"/>
              <w:ind w:left="2261"/>
            </w:pPr>
            <w:r>
              <w:rPr>
                <w:spacing w:val="-2"/>
              </w:rPr>
              <w:t>8.8</w:t>
            </w:r>
          </w:p>
        </w:tc>
      </w:tr>
      <w:tr w14:paraId="450189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00" w:type="dxa"/>
            <w:vMerge w:val="restart"/>
            <w:tcBorders>
              <w:bottom w:val="nil"/>
            </w:tcBorders>
            <w:noWrap w:val="0"/>
            <w:vAlign w:val="top"/>
          </w:tcPr>
          <w:p w14:paraId="26DE22BD">
            <w:pPr>
              <w:pStyle w:val="231"/>
              <w:spacing w:before="230" w:line="220" w:lineRule="auto"/>
              <w:ind w:left="375"/>
            </w:pPr>
            <w:r>
              <w:rPr>
                <w:spacing w:val="-3"/>
              </w:rPr>
              <w:t>雌</w:t>
            </w:r>
            <w:r>
              <w:rPr>
                <w:rFonts w:hint="eastAsia"/>
                <w:spacing w:val="-3"/>
                <w:lang w:val="en-US" w:eastAsia="zh-CN"/>
              </w:rPr>
              <w:t xml:space="preserve"> </w:t>
            </w:r>
            <w:r>
              <w:rPr>
                <w:spacing w:val="-3"/>
              </w:rPr>
              <w:t>蟹</w:t>
            </w:r>
          </w:p>
        </w:tc>
        <w:tc>
          <w:tcPr>
            <w:tcW w:w="3688" w:type="dxa"/>
            <w:noWrap w:val="0"/>
            <w:vAlign w:val="top"/>
          </w:tcPr>
          <w:p w14:paraId="76CEC8EB">
            <w:pPr>
              <w:pStyle w:val="231"/>
              <w:spacing w:before="69" w:line="221" w:lineRule="auto"/>
              <w:ind w:left="405"/>
            </w:pPr>
            <w:r>
              <w:rPr>
                <w:spacing w:val="7"/>
              </w:rPr>
              <w:t>粗蛋白/%                    ≥</w:t>
            </w:r>
          </w:p>
        </w:tc>
        <w:tc>
          <w:tcPr>
            <w:tcW w:w="4786" w:type="dxa"/>
            <w:noWrap w:val="0"/>
            <w:vAlign w:val="top"/>
          </w:tcPr>
          <w:p w14:paraId="036FD432">
            <w:pPr>
              <w:pStyle w:val="231"/>
              <w:spacing w:before="97" w:line="184" w:lineRule="auto"/>
              <w:ind w:left="2228"/>
            </w:pPr>
            <w:r>
              <w:rPr>
                <w:spacing w:val="-4"/>
              </w:rPr>
              <w:t>17.8</w:t>
            </w:r>
          </w:p>
        </w:tc>
      </w:tr>
      <w:tr w14:paraId="33CBD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00" w:type="dxa"/>
            <w:vMerge w:val="continue"/>
            <w:tcBorders>
              <w:top w:val="nil"/>
            </w:tcBorders>
            <w:noWrap w:val="0"/>
            <w:vAlign w:val="top"/>
          </w:tcPr>
          <w:p w14:paraId="09EAFDB3">
            <w:pPr>
              <w:rPr>
                <w:rFonts w:ascii="Arial"/>
                <w:sz w:val="21"/>
              </w:rPr>
            </w:pPr>
          </w:p>
        </w:tc>
        <w:tc>
          <w:tcPr>
            <w:tcW w:w="3688" w:type="dxa"/>
            <w:noWrap w:val="0"/>
            <w:vAlign w:val="top"/>
          </w:tcPr>
          <w:p w14:paraId="673B4E6A">
            <w:pPr>
              <w:pStyle w:val="231"/>
              <w:spacing w:before="71" w:line="221" w:lineRule="auto"/>
              <w:ind w:left="405"/>
            </w:pPr>
            <w:r>
              <w:rPr>
                <w:spacing w:val="7"/>
              </w:rPr>
              <w:t>粗脂肪/%                    ≥</w:t>
            </w:r>
          </w:p>
        </w:tc>
        <w:tc>
          <w:tcPr>
            <w:tcW w:w="4786" w:type="dxa"/>
            <w:noWrap w:val="0"/>
            <w:vAlign w:val="top"/>
          </w:tcPr>
          <w:p w14:paraId="5B96FB8B">
            <w:pPr>
              <w:pStyle w:val="231"/>
              <w:spacing w:before="100" w:line="183" w:lineRule="auto"/>
              <w:ind w:left="2261"/>
            </w:pPr>
            <w:r>
              <w:rPr>
                <w:spacing w:val="-2"/>
              </w:rPr>
              <w:t>9.5</w:t>
            </w:r>
          </w:p>
        </w:tc>
      </w:tr>
    </w:tbl>
    <w:p w14:paraId="00ECFD93">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default" w:ascii="宋体" w:hAnsi="Times New Roman" w:eastAsia="宋体" w:cs="Times New Roman"/>
          <w:kern w:val="0"/>
          <w:sz w:val="21"/>
          <w:szCs w:val="20"/>
          <w:lang w:val="en-US" w:eastAsia="zh-CN" w:bidi="ar-SA"/>
        </w:rPr>
      </w:pPr>
    </w:p>
    <w:p w14:paraId="0E4E60D3">
      <w:pPr>
        <w:pStyle w:val="106"/>
        <w:spacing w:before="156" w:after="156"/>
      </w:pPr>
      <w:r>
        <w:rPr>
          <w:rFonts w:hint="eastAsia"/>
          <w:lang w:eastAsia="zh-CN"/>
        </w:rPr>
        <w:t>安全卫生指标</w:t>
      </w:r>
    </w:p>
    <w:p w14:paraId="60F14BCC">
      <w:pPr>
        <w:pStyle w:val="57"/>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应符合 GB 2733 的规定。</w:t>
      </w:r>
    </w:p>
    <w:p w14:paraId="0C0C5C26">
      <w:pPr>
        <w:pStyle w:val="105"/>
        <w:spacing w:before="312" w:after="312"/>
      </w:pPr>
      <w:r>
        <w:rPr>
          <w:rFonts w:hint="eastAsia"/>
          <w:lang w:eastAsia="zh-CN"/>
        </w:rPr>
        <w:t>检验方法</w:t>
      </w:r>
    </w:p>
    <w:p w14:paraId="57FC5182">
      <w:pPr>
        <w:pStyle w:val="106"/>
        <w:spacing w:before="156" w:after="156"/>
      </w:pPr>
      <w:r>
        <w:rPr>
          <w:rFonts w:hint="eastAsia"/>
          <w:lang w:eastAsia="zh-CN"/>
        </w:rPr>
        <w:t>感官特征</w:t>
      </w:r>
    </w:p>
    <w:p w14:paraId="0C101C25">
      <w:pPr>
        <w:keepNext w:val="0"/>
        <w:keepLines w:val="0"/>
        <w:pageBreakBefore w:val="0"/>
        <w:widowControl w:val="0"/>
        <w:kinsoku/>
        <w:wordWrap/>
        <w:overflowPunct/>
        <w:topLinePunct w:val="0"/>
        <w:autoSpaceDE/>
        <w:autoSpaceDN/>
        <w:bidi w:val="0"/>
        <w:adjustRightInd w:val="0"/>
        <w:snapToGrid/>
        <w:spacing w:line="240" w:lineRule="auto"/>
        <w:ind w:left="0" w:firstLine="404" w:firstLineChars="200"/>
        <w:textAlignment w:val="auto"/>
        <w:rPr>
          <w:rFonts w:hint="eastAsia" w:ascii="宋体" w:hAnsi="Times New Roman" w:eastAsia="宋体" w:cs="Times New Roman"/>
          <w:kern w:val="0"/>
          <w:sz w:val="21"/>
          <w:szCs w:val="20"/>
          <w:lang w:val="en-US" w:eastAsia="zh-CN" w:bidi="ar-SA"/>
        </w:rPr>
      </w:pPr>
      <w:r>
        <w:rPr>
          <w:rFonts w:hint="eastAsia" w:ascii="宋体" w:hAnsi="宋体" w:eastAsia="宋体" w:cs="宋体"/>
          <w:spacing w:val="-4"/>
          <w:sz w:val="21"/>
          <w:szCs w:val="21"/>
          <w:lang w:val="en-US" w:eastAsia="zh-CN"/>
        </w:rPr>
        <w:t>将样品置于白色瓷盘内，在自然光线下目测检查。</w:t>
      </w:r>
    </w:p>
    <w:p w14:paraId="04573576">
      <w:pPr>
        <w:pStyle w:val="106"/>
        <w:spacing w:before="156" w:after="156"/>
      </w:pPr>
      <w:r>
        <w:rPr>
          <w:rFonts w:hint="eastAsia"/>
          <w:spacing w:val="-1"/>
          <w:sz w:val="21"/>
          <w:szCs w:val="21"/>
          <w:lang w:eastAsia="zh-CN"/>
        </w:rPr>
        <w:t>等级指标</w:t>
      </w:r>
    </w:p>
    <w:p w14:paraId="26407B42">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目测、称重、计数，取其算术平均值。称重用感量不低于0.01g天平分类称重、计算，取其算术平均值。</w:t>
      </w:r>
    </w:p>
    <w:p w14:paraId="10B6D5FC">
      <w:pPr>
        <w:pStyle w:val="106"/>
        <w:spacing w:before="156" w:after="156"/>
      </w:pPr>
      <w:r>
        <w:rPr>
          <w:rFonts w:hint="eastAsia"/>
          <w:color w:val="auto"/>
          <w:spacing w:val="-1"/>
          <w:sz w:val="21"/>
          <w:szCs w:val="21"/>
          <w:highlight w:val="none"/>
          <w:lang w:eastAsia="zh-CN"/>
        </w:rPr>
        <w:t>理化指标</w:t>
      </w:r>
    </w:p>
    <w:p w14:paraId="4BE8E8F1">
      <w:pPr>
        <w:pStyle w:val="66"/>
        <w:spacing w:before="156" w:after="156"/>
      </w:pPr>
      <w:r>
        <w:rPr>
          <w:rFonts w:hint="eastAsia"/>
          <w:lang w:eastAsia="zh-CN"/>
        </w:rPr>
        <w:t>粗蛋白</w:t>
      </w:r>
    </w:p>
    <w:p w14:paraId="1222FFA1">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粗蛋白按 GB 5009.5 的规定执行。</w:t>
      </w:r>
    </w:p>
    <w:p w14:paraId="75F4BEA5">
      <w:pPr>
        <w:pStyle w:val="66"/>
        <w:spacing w:before="156" w:after="156"/>
      </w:pPr>
      <w:r>
        <w:rPr>
          <w:rFonts w:hint="eastAsia"/>
          <w:lang w:eastAsia="zh-CN"/>
        </w:rPr>
        <w:t>粗脂肪</w:t>
      </w:r>
    </w:p>
    <w:p w14:paraId="76B94B97">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粗脂肪按 GB 5009.6 的规定执行。</w:t>
      </w:r>
    </w:p>
    <w:p w14:paraId="14A0C904">
      <w:pPr>
        <w:pStyle w:val="106"/>
        <w:spacing w:before="156" w:after="156"/>
      </w:pPr>
      <w:r>
        <w:rPr>
          <w:rFonts w:hint="eastAsia"/>
          <w:lang w:eastAsia="zh-CN"/>
        </w:rPr>
        <w:t>安全卫生标准</w:t>
      </w:r>
    </w:p>
    <w:p w14:paraId="772160C2">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按 GB 2733 的规定执行。</w:t>
      </w:r>
    </w:p>
    <w:p w14:paraId="61E64518">
      <w:pPr>
        <w:pStyle w:val="105"/>
        <w:spacing w:before="312" w:after="312"/>
      </w:pPr>
      <w:r>
        <w:rPr>
          <w:rFonts w:hint="eastAsia"/>
          <w:lang w:eastAsia="zh-CN"/>
        </w:rPr>
        <w:t>检验规则</w:t>
      </w:r>
    </w:p>
    <w:p w14:paraId="5789ABAB">
      <w:pPr>
        <w:pStyle w:val="106"/>
        <w:spacing w:before="156" w:after="156"/>
      </w:pPr>
      <w:r>
        <w:rPr>
          <w:rFonts w:hint="eastAsia"/>
          <w:lang w:eastAsia="zh-CN"/>
        </w:rPr>
        <w:t>组批</w:t>
      </w:r>
    </w:p>
    <w:p w14:paraId="5382EADB">
      <w:pPr>
        <w:keepNext w:val="0"/>
        <w:keepLines w:val="0"/>
        <w:pageBreakBefore w:val="0"/>
        <w:widowControl w:val="0"/>
        <w:kinsoku/>
        <w:wordWrap/>
        <w:overflowPunct/>
        <w:topLinePunct w:val="0"/>
        <w:autoSpaceDE/>
        <w:autoSpaceDN/>
        <w:bidi w:val="0"/>
        <w:adjustRightInd w:val="0"/>
        <w:snapToGrid/>
        <w:spacing w:line="240" w:lineRule="auto"/>
        <w:ind w:left="0" w:firstLine="404" w:firstLineChars="200"/>
        <w:textAlignment w:val="auto"/>
        <w:rPr>
          <w:rFonts w:hint="eastAsia" w:ascii="宋体" w:hAnsi="Times New Roman" w:eastAsia="宋体" w:cs="Times New Roman"/>
          <w:kern w:val="0"/>
          <w:sz w:val="21"/>
          <w:szCs w:val="20"/>
          <w:lang w:val="en-US" w:eastAsia="zh-CN" w:bidi="ar-SA"/>
        </w:rPr>
      </w:pPr>
      <w:r>
        <w:rPr>
          <w:rFonts w:hint="eastAsia" w:ascii="宋体" w:hAnsi="宋体" w:eastAsia="宋体" w:cs="宋体"/>
          <w:spacing w:val="-4"/>
          <w:sz w:val="21"/>
          <w:szCs w:val="21"/>
          <w:lang w:val="en-US" w:eastAsia="zh-CN"/>
        </w:rPr>
        <w:t>同一时间、同一来源的黄天荡清水蟹为同一检验批。</w:t>
      </w:r>
    </w:p>
    <w:p w14:paraId="138D1C04">
      <w:pPr>
        <w:pStyle w:val="106"/>
        <w:spacing w:before="156" w:after="156"/>
      </w:pPr>
      <w:r>
        <w:rPr>
          <w:rFonts w:hint="eastAsia"/>
          <w:spacing w:val="-1"/>
          <w:sz w:val="21"/>
          <w:szCs w:val="21"/>
          <w:lang w:eastAsia="zh-CN"/>
        </w:rPr>
        <w:t>抽样</w:t>
      </w:r>
    </w:p>
    <w:p w14:paraId="297BF92A">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随机抽样，抽样量应符合表3的规定。</w:t>
      </w:r>
    </w:p>
    <w:p w14:paraId="75503AD2">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firstLine="420" w:firstLineChars="200"/>
        <w:jc w:val="center"/>
        <w:textAlignment w:val="auto"/>
        <w:rPr>
          <w:rFonts w:hint="eastAsia"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表3 抽样量</w:t>
      </w:r>
    </w:p>
    <w:tbl>
      <w:tblPr>
        <w:tblStyle w:val="232"/>
        <w:tblW w:w="95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88"/>
        <w:gridCol w:w="4786"/>
      </w:tblGrid>
      <w:tr w14:paraId="3C132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4788" w:type="dxa"/>
            <w:noWrap w:val="0"/>
            <w:vAlign w:val="top"/>
          </w:tcPr>
          <w:p w14:paraId="51D792AE">
            <w:pPr>
              <w:pStyle w:val="231"/>
              <w:spacing w:before="67" w:line="237" w:lineRule="auto"/>
              <w:ind w:left="2186"/>
              <w:rPr>
                <w:rFonts w:hint="eastAsia"/>
                <w:spacing w:val="-4"/>
                <w:lang w:eastAsia="zh-CN"/>
              </w:rPr>
            </w:pPr>
            <w:r>
              <w:rPr>
                <w:rFonts w:hint="eastAsia"/>
                <w:spacing w:val="-4"/>
                <w:lang w:eastAsia="zh-CN"/>
              </w:rPr>
              <w:t>批量数（</w:t>
            </w:r>
            <w:r>
              <w:rPr>
                <w:rFonts w:hint="eastAsia"/>
                <w:spacing w:val="-4"/>
                <w:lang w:val="en-US" w:eastAsia="zh-CN"/>
              </w:rPr>
              <w:t>kg</w:t>
            </w:r>
            <w:r>
              <w:rPr>
                <w:rFonts w:hint="eastAsia"/>
                <w:spacing w:val="-4"/>
                <w:lang w:eastAsia="zh-CN"/>
              </w:rPr>
              <w:t>）</w:t>
            </w:r>
          </w:p>
        </w:tc>
        <w:tc>
          <w:tcPr>
            <w:tcW w:w="4786" w:type="dxa"/>
            <w:noWrap w:val="0"/>
            <w:vAlign w:val="top"/>
          </w:tcPr>
          <w:p w14:paraId="7F5F2852">
            <w:pPr>
              <w:pStyle w:val="231"/>
              <w:spacing w:before="67" w:line="237" w:lineRule="auto"/>
              <w:ind w:left="2186"/>
              <w:rPr>
                <w:rFonts w:hint="eastAsia" w:eastAsia="宋体"/>
                <w:spacing w:val="-4"/>
                <w:lang w:eastAsia="zh-CN"/>
              </w:rPr>
            </w:pPr>
            <w:r>
              <w:rPr>
                <w:rFonts w:hint="eastAsia"/>
                <w:spacing w:val="-4"/>
                <w:lang w:eastAsia="zh-CN"/>
              </w:rPr>
              <w:t>抽样量（只）</w:t>
            </w:r>
          </w:p>
        </w:tc>
      </w:tr>
      <w:tr w14:paraId="2E11C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788" w:type="dxa"/>
            <w:noWrap w:val="0"/>
            <w:vAlign w:val="top"/>
          </w:tcPr>
          <w:p w14:paraId="46AB0B8F">
            <w:pPr>
              <w:pStyle w:val="231"/>
              <w:spacing w:before="67" w:line="237" w:lineRule="auto"/>
              <w:ind w:left="2186"/>
            </w:pPr>
            <w:r>
              <w:rPr>
                <w:spacing w:val="-4"/>
              </w:rPr>
              <w:t>≤500</w:t>
            </w:r>
          </w:p>
        </w:tc>
        <w:tc>
          <w:tcPr>
            <w:tcW w:w="4786" w:type="dxa"/>
            <w:noWrap w:val="0"/>
            <w:vAlign w:val="top"/>
          </w:tcPr>
          <w:p w14:paraId="41F518F6">
            <w:pPr>
              <w:pStyle w:val="231"/>
              <w:spacing w:before="96" w:line="183" w:lineRule="auto"/>
              <w:ind w:left="2304"/>
            </w:pPr>
            <w:r>
              <w:rPr>
                <w:spacing w:val="-2"/>
              </w:rPr>
              <w:t>40</w:t>
            </w:r>
          </w:p>
        </w:tc>
      </w:tr>
      <w:tr w14:paraId="76C3F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4788" w:type="dxa"/>
            <w:noWrap w:val="0"/>
            <w:vAlign w:val="top"/>
          </w:tcPr>
          <w:p w14:paraId="109546E8">
            <w:pPr>
              <w:pStyle w:val="231"/>
              <w:spacing w:before="96" w:line="183" w:lineRule="auto"/>
              <w:ind w:left="1997"/>
            </w:pPr>
            <w:r>
              <w:rPr>
                <w:spacing w:val="-2"/>
              </w:rPr>
              <w:t>500～2000</w:t>
            </w:r>
          </w:p>
        </w:tc>
        <w:tc>
          <w:tcPr>
            <w:tcW w:w="4786" w:type="dxa"/>
            <w:noWrap w:val="0"/>
            <w:vAlign w:val="top"/>
          </w:tcPr>
          <w:p w14:paraId="7C5AE2D7">
            <w:pPr>
              <w:pStyle w:val="231"/>
              <w:spacing w:before="96" w:line="183" w:lineRule="auto"/>
              <w:ind w:left="2308"/>
            </w:pPr>
            <w:r>
              <w:rPr>
                <w:spacing w:val="-3"/>
              </w:rPr>
              <w:t>50</w:t>
            </w:r>
          </w:p>
        </w:tc>
      </w:tr>
      <w:tr w14:paraId="25A4B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4788" w:type="dxa"/>
            <w:noWrap w:val="0"/>
            <w:vAlign w:val="top"/>
          </w:tcPr>
          <w:p w14:paraId="74B4DD90">
            <w:pPr>
              <w:pStyle w:val="231"/>
              <w:spacing w:before="99" w:line="183" w:lineRule="auto"/>
              <w:ind w:left="2182"/>
            </w:pPr>
            <w:r>
              <w:rPr>
                <w:spacing w:val="-12"/>
              </w:rPr>
              <w:t>﹥2000</w:t>
            </w:r>
          </w:p>
        </w:tc>
        <w:tc>
          <w:tcPr>
            <w:tcW w:w="4786" w:type="dxa"/>
            <w:noWrap w:val="0"/>
            <w:vAlign w:val="top"/>
          </w:tcPr>
          <w:p w14:paraId="2C224D1D">
            <w:pPr>
              <w:pStyle w:val="231"/>
              <w:spacing w:before="99" w:line="183" w:lineRule="auto"/>
              <w:ind w:left="2306"/>
            </w:pPr>
            <w:r>
              <w:rPr>
                <w:spacing w:val="-3"/>
              </w:rPr>
              <w:t>60</w:t>
            </w:r>
          </w:p>
        </w:tc>
      </w:tr>
    </w:tbl>
    <w:p w14:paraId="6CF80F9F">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default" w:ascii="宋体" w:hAnsi="Times New Roman" w:eastAsia="宋体" w:cs="Times New Roman"/>
          <w:kern w:val="0"/>
          <w:sz w:val="21"/>
          <w:szCs w:val="20"/>
          <w:lang w:val="en-US" w:eastAsia="zh-CN" w:bidi="ar-SA"/>
        </w:rPr>
      </w:pPr>
    </w:p>
    <w:p w14:paraId="057763E0">
      <w:pPr>
        <w:pStyle w:val="106"/>
        <w:spacing w:before="156" w:after="156"/>
      </w:pPr>
      <w:r>
        <w:rPr>
          <w:rFonts w:hint="eastAsia"/>
          <w:lang w:eastAsia="zh-CN"/>
        </w:rPr>
        <w:t>检验</w:t>
      </w:r>
    </w:p>
    <w:p w14:paraId="0F886978">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随机抽样，抽样量应符合表3的规定。</w:t>
      </w:r>
    </w:p>
    <w:p w14:paraId="214C66BC">
      <w:pPr>
        <w:pStyle w:val="66"/>
        <w:spacing w:before="156" w:after="156"/>
      </w:pPr>
      <w:r>
        <w:rPr>
          <w:rFonts w:hint="eastAsia"/>
          <w:lang w:eastAsia="zh-CN"/>
        </w:rPr>
        <w:t>检验分类</w:t>
      </w:r>
    </w:p>
    <w:p w14:paraId="76DA1528">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检验分出水检验和型式检验。</w:t>
      </w:r>
    </w:p>
    <w:p w14:paraId="37FF34BB">
      <w:pPr>
        <w:pStyle w:val="66"/>
        <w:spacing w:before="156" w:after="156"/>
      </w:pPr>
      <w:r>
        <w:rPr>
          <w:rFonts w:hint="eastAsia"/>
          <w:lang w:eastAsia="zh-CN"/>
        </w:rPr>
        <w:t>出水检验</w:t>
      </w:r>
    </w:p>
    <w:p w14:paraId="669958BA">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出水检验应在起捕出水半小时后,对抽样样品逐个进行，检验项目为分级、感官特征、残肢率。</w:t>
      </w:r>
    </w:p>
    <w:p w14:paraId="5E89EE1D">
      <w:pPr>
        <w:pStyle w:val="66"/>
        <w:spacing w:before="156" w:after="156"/>
        <w:rPr>
          <w:rFonts w:hint="eastAsia" w:hAnsi="Times New Roman" w:cs="Times New Roman"/>
          <w:lang w:val="en-US" w:eastAsia="zh-CN"/>
        </w:rPr>
      </w:pPr>
      <w:r>
        <w:rPr>
          <w:rFonts w:hint="eastAsia" w:hAnsi="Times New Roman" w:cs="Times New Roman"/>
          <w:lang w:val="en-US" w:eastAsia="zh-CN"/>
        </w:rPr>
        <w:t>型式检验</w:t>
      </w:r>
    </w:p>
    <w:p w14:paraId="4925D4D0">
      <w:pPr>
        <w:pStyle w:val="57"/>
        <w:keepNext w:val="0"/>
        <w:keepLines w:val="0"/>
        <w:pageBreakBefore w:val="0"/>
        <w:widowControl/>
        <w:kinsoku/>
        <w:wordWrap/>
        <w:overflowPunct/>
        <w:topLinePunct w:val="0"/>
        <w:autoSpaceDE w:val="0"/>
        <w:autoSpaceDN w:val="0"/>
        <w:bidi w:val="0"/>
        <w:adjustRightInd/>
        <w:snapToGrid/>
        <w:ind w:firstLine="42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检验项目为本标准中规定全部项目。有下列情形之一时应进行型式检验：</w:t>
      </w:r>
    </w:p>
    <w:p w14:paraId="19B1A1C9">
      <w:pPr>
        <w:pStyle w:val="57"/>
        <w:keepNext w:val="0"/>
        <w:keepLines w:val="0"/>
        <w:pageBreakBefore w:val="0"/>
        <w:widowControl/>
        <w:kinsoku/>
        <w:wordWrap/>
        <w:overflowPunct/>
        <w:topLinePunct w:val="0"/>
        <w:autoSpaceDE w:val="0"/>
        <w:autoSpaceDN w:val="0"/>
        <w:bidi w:val="0"/>
        <w:adjustRightInd/>
        <w:snapToGrid/>
        <w:ind w:firstLine="42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a)  螃蟹养殖条件发生变化，可能影响产品质量时；</w:t>
      </w:r>
    </w:p>
    <w:p w14:paraId="211E0DDA">
      <w:pPr>
        <w:pStyle w:val="57"/>
        <w:keepNext w:val="0"/>
        <w:keepLines w:val="0"/>
        <w:pageBreakBefore w:val="0"/>
        <w:widowControl/>
        <w:kinsoku/>
        <w:wordWrap/>
        <w:overflowPunct/>
        <w:topLinePunct w:val="0"/>
        <w:autoSpaceDE w:val="0"/>
        <w:autoSpaceDN w:val="0"/>
        <w:bidi w:val="0"/>
        <w:adjustRightInd/>
        <w:snapToGrid/>
        <w:ind w:firstLine="42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b)  正常养殖时，每年至少一次的周期性检验；</w:t>
      </w:r>
    </w:p>
    <w:p w14:paraId="23DC93FD">
      <w:pPr>
        <w:pStyle w:val="57"/>
        <w:keepNext w:val="0"/>
        <w:keepLines w:val="0"/>
        <w:pageBreakBefore w:val="0"/>
        <w:widowControl/>
        <w:kinsoku/>
        <w:wordWrap/>
        <w:overflowPunct/>
        <w:topLinePunct w:val="0"/>
        <w:autoSpaceDE w:val="0"/>
        <w:autoSpaceDN w:val="0"/>
        <w:bidi w:val="0"/>
        <w:adjustRightInd/>
        <w:snapToGrid/>
        <w:ind w:firstLine="42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c)  国家市场监督管理部门提出进行型式检验要求时。</w:t>
      </w:r>
    </w:p>
    <w:p w14:paraId="28B58CE3">
      <w:pPr>
        <w:pStyle w:val="106"/>
        <w:spacing w:before="156" w:after="156"/>
      </w:pPr>
      <w:r>
        <w:rPr>
          <w:rFonts w:hint="eastAsia"/>
          <w:lang w:eastAsia="zh-CN"/>
        </w:rPr>
        <w:t>判定规则</w:t>
      </w:r>
    </w:p>
    <w:p w14:paraId="1B85E354">
      <w:pPr>
        <w:pStyle w:val="66"/>
        <w:spacing w:before="156" w:after="156"/>
      </w:pPr>
      <w:r>
        <w:rPr>
          <w:rFonts w:hint="eastAsia"/>
          <w:lang w:eastAsia="zh-CN"/>
        </w:rPr>
        <w:t>产品合格</w:t>
      </w:r>
    </w:p>
    <w:p w14:paraId="297C6BD9">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出水检验所有检验指标都符合本标准的规定，则判定该批产品合格。</w:t>
      </w:r>
    </w:p>
    <w:p w14:paraId="2A172C5D">
      <w:pPr>
        <w:pStyle w:val="66"/>
        <w:spacing w:before="156" w:after="156"/>
      </w:pPr>
      <w:r>
        <w:rPr>
          <w:rFonts w:hint="eastAsia"/>
          <w:lang w:eastAsia="zh-CN"/>
        </w:rPr>
        <w:t>产品不合格</w:t>
      </w:r>
    </w:p>
    <w:p w14:paraId="10B4B147">
      <w:pPr>
        <w:pStyle w:val="57"/>
        <w:ind w:firstLine="42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型式检验， 有一项指标不合格，加倍抽样，对不合格项目复验，如仍不合格，判该批产品不合格。 安全卫生指标不允许复验。</w:t>
      </w:r>
    </w:p>
    <w:p w14:paraId="312817C3">
      <w:pPr>
        <w:pStyle w:val="105"/>
        <w:spacing w:before="312" w:after="312"/>
      </w:pPr>
      <w:r>
        <w:rPr>
          <w:rFonts w:hint="eastAsia"/>
          <w:lang w:eastAsia="zh-CN"/>
        </w:rPr>
        <w:t>标志、包装、运输和贮存</w:t>
      </w:r>
    </w:p>
    <w:p w14:paraId="20E9C749">
      <w:pPr>
        <w:pStyle w:val="106"/>
        <w:spacing w:before="156" w:after="156"/>
      </w:pPr>
      <w:r>
        <w:rPr>
          <w:rFonts w:hint="eastAsia"/>
          <w:lang w:eastAsia="zh-CN"/>
        </w:rPr>
        <w:t>标志</w:t>
      </w:r>
    </w:p>
    <w:p w14:paraId="06ED4030">
      <w:pPr>
        <w:keepNext w:val="0"/>
        <w:keepLines w:val="0"/>
        <w:pageBreakBefore w:val="0"/>
        <w:widowControl w:val="0"/>
        <w:kinsoku/>
        <w:wordWrap/>
        <w:overflowPunct/>
        <w:topLinePunct w:val="0"/>
        <w:autoSpaceDE/>
        <w:autoSpaceDN/>
        <w:bidi w:val="0"/>
        <w:adjustRightInd w:val="0"/>
        <w:snapToGrid/>
        <w:spacing w:line="240" w:lineRule="auto"/>
        <w:ind w:left="0" w:firstLine="404" w:firstLineChars="200"/>
        <w:textAlignment w:val="auto"/>
        <w:rPr>
          <w:rFonts w:hint="eastAsia" w:ascii="宋体" w:hAnsi="Times New Roman" w:eastAsia="宋体" w:cs="Times New Roman"/>
          <w:kern w:val="0"/>
          <w:sz w:val="21"/>
          <w:szCs w:val="20"/>
          <w:lang w:val="en-US" w:eastAsia="zh-CN" w:bidi="ar-SA"/>
        </w:rPr>
      </w:pPr>
      <w:r>
        <w:rPr>
          <w:rFonts w:hint="eastAsia" w:ascii="宋体" w:hAnsi="宋体" w:eastAsia="宋体" w:cs="宋体"/>
          <w:spacing w:val="-4"/>
          <w:sz w:val="21"/>
          <w:szCs w:val="21"/>
          <w:lang w:val="en-US" w:eastAsia="zh-CN"/>
        </w:rPr>
        <w:t>产品标志应标明产品名称、生产者、产地、执行标准和等级等，同时应符合 GB/T 17924 的规定。</w:t>
      </w:r>
    </w:p>
    <w:p w14:paraId="19D59765">
      <w:pPr>
        <w:pStyle w:val="106"/>
        <w:spacing w:before="156" w:after="156"/>
      </w:pPr>
      <w:r>
        <w:rPr>
          <w:rFonts w:hint="eastAsia"/>
          <w:lang w:eastAsia="zh-CN"/>
        </w:rPr>
        <w:t>包装</w:t>
      </w:r>
    </w:p>
    <w:p w14:paraId="2F496598">
      <w:pPr>
        <w:keepNext w:val="0"/>
        <w:keepLines w:val="0"/>
        <w:pageBreakBefore w:val="0"/>
        <w:widowControl w:val="0"/>
        <w:kinsoku/>
        <w:wordWrap/>
        <w:overflowPunct/>
        <w:topLinePunct w:val="0"/>
        <w:autoSpaceDE/>
        <w:autoSpaceDN/>
        <w:bidi w:val="0"/>
        <w:adjustRightInd w:val="0"/>
        <w:snapToGrid/>
        <w:spacing w:line="240" w:lineRule="auto"/>
        <w:ind w:left="0"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包装物应无毒无害，容器应有透气孔，包装箱的图示标志应符合 GB/T 191 的规定。</w:t>
      </w:r>
    </w:p>
    <w:p w14:paraId="7D28E4BB">
      <w:pPr>
        <w:pStyle w:val="106"/>
        <w:spacing w:before="156" w:after="156"/>
      </w:pPr>
      <w:r>
        <w:rPr>
          <w:rFonts w:hint="eastAsia"/>
          <w:lang w:eastAsia="zh-CN"/>
        </w:rPr>
        <w:t>运输、贮存</w:t>
      </w:r>
    </w:p>
    <w:p w14:paraId="3DA51334">
      <w:pPr>
        <w:pStyle w:val="166"/>
      </w:pPr>
      <w:r>
        <w:rPr>
          <w:rFonts w:hint="eastAsia"/>
        </w:rPr>
        <w:t>运输时应预降温度，空运时包装方法按照民航货物运输规定进行。</w:t>
      </w:r>
    </w:p>
    <w:p w14:paraId="44E16D23">
      <w:pPr>
        <w:pStyle w:val="166"/>
      </w:pPr>
      <w:r>
        <w:rPr>
          <w:rFonts w:hint="eastAsia"/>
        </w:rPr>
        <w:t>贮运过程应轻放轻运，避免挤压与碰撞，并保持湿润。</w:t>
      </w:r>
    </w:p>
    <w:p w14:paraId="1E940967">
      <w:pPr>
        <w:pStyle w:val="166"/>
      </w:pPr>
      <w:r>
        <w:rPr>
          <w:rFonts w:hint="eastAsia"/>
        </w:rPr>
        <w:t>运输、贮存工具及场所应防止有毒有害物质污染。</w:t>
      </w:r>
    </w:p>
    <w:p w14:paraId="2FD56D17">
      <w:pPr>
        <w:pStyle w:val="166"/>
        <w:numPr>
          <w:ilvl w:val="3"/>
          <w:numId w:val="0"/>
        </w:numPr>
        <w:ind w:leftChars="0"/>
      </w:pPr>
    </w:p>
    <w:p w14:paraId="39F79420">
      <w:pPr>
        <w:pStyle w:val="57"/>
        <w:ind w:firstLine="420"/>
        <w:rPr>
          <w:rFonts w:hint="eastAsia" w:ascii="宋体" w:hAnsi="Times New Roman" w:eastAsia="宋体" w:cs="Times New Roman"/>
          <w:kern w:val="0"/>
          <w:sz w:val="21"/>
          <w:szCs w:val="20"/>
          <w:lang w:val="en-US" w:eastAsia="zh-CN" w:bidi="ar-SA"/>
        </w:rPr>
      </w:pPr>
    </w:p>
    <w:bookmarkEnd w:id="22"/>
    <w:p w14:paraId="40710A1B">
      <w:pPr>
        <w:widowControl/>
        <w:autoSpaceDE w:val="0"/>
        <w:autoSpaceDN w:val="0"/>
        <w:adjustRightInd/>
        <w:spacing w:line="14" w:lineRule="exact"/>
        <w:ind w:left="420"/>
        <w:jc w:val="center"/>
        <w:rPr>
          <w:rFonts w:ascii="黑体" w:hAnsi="黑体" w:eastAsia="黑体"/>
          <w:kern w:val="0"/>
          <w:sz w:val="2"/>
        </w:rPr>
      </w:pPr>
    </w:p>
    <w:p w14:paraId="776BE0A5">
      <w:pPr>
        <w:widowControl/>
        <w:autoSpaceDE w:val="0"/>
        <w:autoSpaceDN w:val="0"/>
        <w:adjustRightInd/>
        <w:spacing w:line="14" w:lineRule="exact"/>
        <w:ind w:left="425"/>
        <w:jc w:val="center"/>
        <w:rPr>
          <w:rFonts w:ascii="宋体" w:hAnsi="Times New Roman" w:eastAsia="黑体"/>
          <w:kern w:val="0"/>
          <w:sz w:val="2"/>
          <w:szCs w:val="20"/>
        </w:rPr>
      </w:pPr>
    </w:p>
    <w:p w14:paraId="727FAE4C">
      <w:pPr>
        <w:widowControl/>
        <w:autoSpaceDE w:val="0"/>
        <w:autoSpaceDN w:val="0"/>
        <w:adjustRightInd/>
        <w:spacing w:line="240" w:lineRule="auto"/>
        <w:jc w:val="center"/>
        <w:rPr>
          <w:rFonts w:hint="eastAsia" w:ascii="宋体" w:hAnsi="Times New Roman"/>
          <w:kern w:val="0"/>
          <w:szCs w:val="20"/>
        </w:rPr>
      </w:pPr>
    </w:p>
    <w:p w14:paraId="3A4EDA60">
      <w:pPr>
        <w:widowControl/>
        <w:autoSpaceDE w:val="0"/>
        <w:autoSpaceDN w:val="0"/>
        <w:adjustRightInd/>
        <w:spacing w:line="240" w:lineRule="auto"/>
        <w:jc w:val="center"/>
        <w:rPr>
          <w:rFonts w:hint="eastAsia" w:ascii="宋体" w:hAnsi="Times New Roman"/>
          <w:kern w:val="0"/>
          <w:szCs w:val="20"/>
        </w:rPr>
      </w:pPr>
    </w:p>
    <w:p w14:paraId="7975A2B5">
      <w:pPr>
        <w:widowControl/>
        <w:autoSpaceDE w:val="0"/>
        <w:autoSpaceDN w:val="0"/>
        <w:adjustRightInd/>
        <w:spacing w:line="240" w:lineRule="auto"/>
        <w:jc w:val="center"/>
        <w:rPr>
          <w:rFonts w:hint="eastAsia" w:ascii="宋体" w:hAnsi="Times New Roman"/>
          <w:kern w:val="0"/>
          <w:szCs w:val="20"/>
        </w:rPr>
      </w:pPr>
    </w:p>
    <w:p w14:paraId="6DD8F834">
      <w:pPr>
        <w:widowControl/>
        <w:autoSpaceDE w:val="0"/>
        <w:autoSpaceDN w:val="0"/>
        <w:adjustRightInd/>
        <w:spacing w:line="240" w:lineRule="auto"/>
        <w:jc w:val="center"/>
        <w:rPr>
          <w:rFonts w:hint="eastAsia" w:ascii="宋体" w:hAnsi="Times New Roman"/>
          <w:kern w:val="0"/>
          <w:szCs w:val="20"/>
        </w:rPr>
      </w:pPr>
    </w:p>
    <w:p w14:paraId="16E7852D">
      <w:pPr>
        <w:widowControl/>
        <w:autoSpaceDE w:val="0"/>
        <w:autoSpaceDN w:val="0"/>
        <w:adjustRightInd/>
        <w:spacing w:line="240" w:lineRule="auto"/>
        <w:jc w:val="center"/>
        <w:rPr>
          <w:rFonts w:hint="eastAsia" w:ascii="宋体" w:hAnsi="Times New Roman"/>
          <w:kern w:val="0"/>
          <w:szCs w:val="20"/>
        </w:rPr>
      </w:pPr>
    </w:p>
    <w:p w14:paraId="7EF9E85A">
      <w:pPr>
        <w:widowControl/>
        <w:autoSpaceDE w:val="0"/>
        <w:autoSpaceDN w:val="0"/>
        <w:adjustRightInd/>
        <w:spacing w:line="240" w:lineRule="auto"/>
        <w:jc w:val="center"/>
        <w:rPr>
          <w:rFonts w:hint="eastAsia" w:ascii="宋体" w:hAnsi="Times New Roman"/>
          <w:kern w:val="0"/>
          <w:szCs w:val="20"/>
        </w:rPr>
      </w:pPr>
    </w:p>
    <w:p w14:paraId="2F649817">
      <w:pPr>
        <w:widowControl/>
        <w:autoSpaceDE w:val="0"/>
        <w:autoSpaceDN w:val="0"/>
        <w:adjustRightInd/>
        <w:spacing w:line="240" w:lineRule="auto"/>
        <w:jc w:val="center"/>
        <w:rPr>
          <w:rFonts w:hint="eastAsia" w:ascii="宋体" w:hAnsi="Times New Roman"/>
          <w:kern w:val="0"/>
          <w:szCs w:val="20"/>
        </w:rPr>
      </w:pPr>
    </w:p>
    <w:p w14:paraId="75D23796">
      <w:pPr>
        <w:rPr>
          <w:rFonts w:hint="eastAsia" w:ascii="宋体" w:hAnsi="Times New Roman"/>
          <w:kern w:val="0"/>
          <w:szCs w:val="20"/>
        </w:rPr>
      </w:pPr>
      <w:r>
        <w:rPr>
          <w:rFonts w:hint="eastAsia" w:ascii="宋体" w:hAnsi="Times New Roman"/>
          <w:kern w:val="0"/>
          <w:szCs w:val="20"/>
        </w:rPr>
        <w:br w:type="page"/>
      </w:r>
    </w:p>
    <w:p w14:paraId="107E3B61">
      <w:pPr>
        <w:pStyle w:val="77"/>
        <w:bidi w:val="0"/>
      </w:pPr>
    </w:p>
    <w:p w14:paraId="4EB1873A">
      <w:pPr>
        <w:pStyle w:val="88"/>
        <w:bidi w:val="0"/>
        <w:jc w:val="center"/>
      </w:pPr>
      <w:r>
        <w:rPr>
          <w:rFonts w:hint="eastAsia"/>
          <w:lang w:eastAsia="zh-CN"/>
        </w:rPr>
        <w:t>（</w:t>
      </w:r>
      <w:r>
        <w:t>规范性</w:t>
      </w:r>
      <w:r>
        <w:rPr>
          <w:rFonts w:hint="eastAsia"/>
          <w:lang w:eastAsia="zh-CN"/>
        </w:rPr>
        <w:t>）</w:t>
      </w:r>
    </w:p>
    <w:p w14:paraId="04E6357A">
      <w:pPr>
        <w:pStyle w:val="88"/>
        <w:bidi w:val="0"/>
        <w:jc w:val="center"/>
      </w:pPr>
      <w:r>
        <w:rPr>
          <w:rFonts w:hint="eastAsia"/>
          <w:lang w:eastAsia="zh-CN"/>
        </w:rPr>
        <w:t>黄天荡清水蟹</w:t>
      </w:r>
      <w:r>
        <w:t>地理标志产品保护范围</w:t>
      </w:r>
    </w:p>
    <w:p w14:paraId="068FC4DA">
      <w:pPr>
        <w:pStyle w:val="57"/>
        <w:jc w:val="both"/>
      </w:pPr>
      <w:r>
        <w:rPr>
          <w:rFonts w:hint="eastAsia" w:ascii="Arial" w:eastAsia="宋体"/>
          <w:sz w:val="21"/>
          <w:lang w:eastAsia="zh-CN"/>
        </w:rPr>
        <w:drawing>
          <wp:anchor distT="0" distB="0" distL="114935" distR="114935" simplePos="0" relativeHeight="251662336" behindDoc="0" locked="0" layoutInCell="1" allowOverlap="1">
            <wp:simplePos x="0" y="0"/>
            <wp:positionH relativeFrom="column">
              <wp:posOffset>4445</wp:posOffset>
            </wp:positionH>
            <wp:positionV relativeFrom="paragraph">
              <wp:posOffset>7620</wp:posOffset>
            </wp:positionV>
            <wp:extent cx="5928995" cy="3549015"/>
            <wp:effectExtent l="0" t="0" r="14605" b="13335"/>
            <wp:wrapTopAndBottom/>
            <wp:docPr id="2" name="图片 1" descr="0de4efb69b276a1c68836bbeaeea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0de4efb69b276a1c68836bbeaeea124"/>
                    <pic:cNvPicPr>
                      <a:picLocks noChangeAspect="1"/>
                    </pic:cNvPicPr>
                  </pic:nvPicPr>
                  <pic:blipFill>
                    <a:blip r:embed="rId16"/>
                    <a:stretch>
                      <a:fillRect/>
                    </a:stretch>
                  </pic:blipFill>
                  <pic:spPr>
                    <a:xfrm>
                      <a:off x="0" y="0"/>
                      <a:ext cx="5928995" cy="3549015"/>
                    </a:xfrm>
                    <a:prstGeom prst="rect">
                      <a:avLst/>
                    </a:prstGeom>
                    <a:noFill/>
                    <a:ln>
                      <a:noFill/>
                    </a:ln>
                  </pic:spPr>
                </pic:pic>
              </a:graphicData>
            </a:graphic>
          </wp:anchor>
        </w:drawing>
      </w:r>
      <w:r>
        <w:t>注： 红线圈出部分为</w:t>
      </w:r>
      <w:r>
        <w:rPr>
          <w:rFonts w:hint="eastAsia"/>
          <w:lang w:eastAsia="zh-CN"/>
        </w:rPr>
        <w:t>黄天荡清水蟹</w:t>
      </w:r>
      <w:r>
        <w:t>地理标志产品保护范围。</w:t>
      </w:r>
    </w:p>
    <w:p w14:paraId="6A0E959F">
      <w:pPr>
        <w:pStyle w:val="84"/>
        <w:bidi w:val="0"/>
      </w:pPr>
      <w:r>
        <w:drawing>
          <wp:anchor distT="0" distB="0" distL="114300" distR="114300" simplePos="0" relativeHeight="251661312" behindDoc="1" locked="0" layoutInCell="0" allowOverlap="1">
            <wp:simplePos x="0" y="0"/>
            <wp:positionH relativeFrom="page">
              <wp:posOffset>3053080</wp:posOffset>
            </wp:positionH>
            <wp:positionV relativeFrom="page">
              <wp:posOffset>9248140</wp:posOffset>
            </wp:positionV>
            <wp:extent cx="1485900" cy="12065"/>
            <wp:effectExtent l="0" t="0" r="0" b="0"/>
            <wp:wrapNone/>
            <wp:docPr id="4" name="IM 20"/>
            <wp:cNvGraphicFramePr/>
            <a:graphic xmlns:a="http://schemas.openxmlformats.org/drawingml/2006/main">
              <a:graphicData uri="http://schemas.openxmlformats.org/drawingml/2006/picture">
                <pic:pic xmlns:pic="http://schemas.openxmlformats.org/drawingml/2006/picture">
                  <pic:nvPicPr>
                    <pic:cNvPr id="4" name="IM 20"/>
                    <pic:cNvPicPr/>
                  </pic:nvPicPr>
                  <pic:blipFill>
                    <a:blip r:embed="rId17"/>
                    <a:stretch>
                      <a:fillRect/>
                    </a:stretch>
                  </pic:blipFill>
                  <pic:spPr>
                    <a:xfrm>
                      <a:off x="0" y="0"/>
                      <a:ext cx="1485900" cy="12065"/>
                    </a:xfrm>
                    <a:prstGeom prst="rect">
                      <a:avLst/>
                    </a:prstGeom>
                    <a:noFill/>
                    <a:ln>
                      <a:noFill/>
                    </a:ln>
                  </pic:spPr>
                </pic:pic>
              </a:graphicData>
            </a:graphic>
          </wp:anchor>
        </w:drawing>
      </w:r>
      <w:r>
        <w:rPr>
          <w:rFonts w:hint="eastAsia"/>
          <w:spacing w:val="-1"/>
          <w:sz w:val="21"/>
          <w:szCs w:val="21"/>
          <w:lang w:eastAsia="zh-CN"/>
        </w:rPr>
        <w:t>黄天荡清水蟹</w:t>
      </w:r>
      <w:r>
        <w:rPr>
          <w:spacing w:val="-1"/>
          <w:sz w:val="21"/>
          <w:szCs w:val="21"/>
        </w:rPr>
        <w:t>地理标志产品保护范围图</w:t>
      </w:r>
    </w:p>
    <w:p w14:paraId="6B650F5F">
      <w:pPr>
        <w:pStyle w:val="57"/>
        <w:rPr>
          <w:spacing w:val="-1"/>
          <w:sz w:val="21"/>
          <w:szCs w:val="21"/>
        </w:rPr>
      </w:pPr>
    </w:p>
    <w:p w14:paraId="431D77A1">
      <w:pPr>
        <w:pStyle w:val="57"/>
        <w:rPr>
          <w:spacing w:val="-1"/>
          <w:sz w:val="21"/>
          <w:szCs w:val="21"/>
        </w:rPr>
      </w:pPr>
    </w:p>
    <w:p w14:paraId="0F041105">
      <w:pPr>
        <w:pStyle w:val="57"/>
        <w:rPr>
          <w:spacing w:val="-1"/>
          <w:sz w:val="21"/>
          <w:szCs w:val="21"/>
        </w:rPr>
      </w:pPr>
    </w:p>
    <w:p w14:paraId="395785A7">
      <w:pPr>
        <w:pStyle w:val="57"/>
        <w:jc w:val="center"/>
        <w:rPr>
          <w:spacing w:val="-1"/>
          <w:sz w:val="21"/>
          <w:szCs w:val="21"/>
        </w:rPr>
      </w:pPr>
    </w:p>
    <w:p w14:paraId="1F645257">
      <w:pPr>
        <w:pStyle w:val="57"/>
        <w:rPr>
          <w:rFonts w:hint="eastAsia" w:ascii="Arial" w:eastAsia="宋体"/>
          <w:sz w:val="21"/>
          <w:lang w:eastAsia="zh-CN"/>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E28B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595AD">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C255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872A2">
    <w:pPr>
      <w:pStyle w:val="53"/>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2D2EB">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5C3D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8EF89">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5B90D">
    <w:pPr>
      <w:pStyle w:val="62"/>
    </w:pPr>
    <w:r>
      <w:fldChar w:fldCharType="begin"/>
    </w:r>
    <w:r>
      <w:instrText xml:space="preserve"> STYLEREF  标准文件_文件编号  \* MERGEFORMAT </w:instrText>
    </w:r>
    <w:r>
      <w:fldChar w:fldCharType="separate"/>
    </w:r>
    <w:r>
      <w:t>DB 3204/T ****—2025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A7ED1">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3204/T ****—2025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bordersDoNotSurroundHeader w:val="1"/>
  <w:bordersDoNotSurroundFooter w:val="1"/>
  <w:attachedTemplate r:id="rId1"/>
  <w:documentProtection w:edit="forms" w:enforcement="1" w:cryptProviderType="rsaAES" w:cryptAlgorithmClass="hash" w:cryptAlgorithmType="typeAny" w:cryptAlgorithmSid="14" w:cryptSpinCount="100000" w:hash="g6g2kXZ8AI91TKlBE08gTl4svPJIsAkEjr/Cr1aP48JgTJMCTVqXOLnn8eSTkUcQV6tXRSgVSomajK40fRdmig==" w:salt="6/0nkx0jVaQ0trwnKYSYv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1MzExMDhkZjgxNTMzM2VlZTIxNTEyY2Q3NjgxMjUifQ=="/>
  </w:docVars>
  <w:rsids>
    <w:rsidRoot w:val="00FA406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77E"/>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302"/>
    <w:rsid w:val="000E4C9E"/>
    <w:rsid w:val="000E6FD7"/>
    <w:rsid w:val="000F06E1"/>
    <w:rsid w:val="000F0E3C"/>
    <w:rsid w:val="000F19D5"/>
    <w:rsid w:val="000F4AEA"/>
    <w:rsid w:val="000F633F"/>
    <w:rsid w:val="000F67E9"/>
    <w:rsid w:val="00104926"/>
    <w:rsid w:val="0010769D"/>
    <w:rsid w:val="0011254C"/>
    <w:rsid w:val="00113B1E"/>
    <w:rsid w:val="0011711C"/>
    <w:rsid w:val="0012059C"/>
    <w:rsid w:val="00124E4F"/>
    <w:rsid w:val="001260B7"/>
    <w:rsid w:val="001265CB"/>
    <w:rsid w:val="001321C6"/>
    <w:rsid w:val="001325C4"/>
    <w:rsid w:val="00133010"/>
    <w:rsid w:val="001338EE"/>
    <w:rsid w:val="00133AAE"/>
    <w:rsid w:val="00135323"/>
    <w:rsid w:val="00135546"/>
    <w:rsid w:val="001356C4"/>
    <w:rsid w:val="00141114"/>
    <w:rsid w:val="00142969"/>
    <w:rsid w:val="001446C2"/>
    <w:rsid w:val="0014499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D87"/>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142"/>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A0F"/>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3FB3"/>
    <w:rsid w:val="00596160"/>
    <w:rsid w:val="005966E2"/>
    <w:rsid w:val="00597007"/>
    <w:rsid w:val="005A0966"/>
    <w:rsid w:val="005A11B7"/>
    <w:rsid w:val="005A260B"/>
    <w:rsid w:val="005A4A1B"/>
    <w:rsid w:val="005A69B0"/>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520"/>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D19"/>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EA"/>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8B7"/>
    <w:rsid w:val="00A32D73"/>
    <w:rsid w:val="00A3367B"/>
    <w:rsid w:val="00A3516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0E05"/>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35D"/>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468"/>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2CB"/>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312"/>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CD1"/>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7C17"/>
    <w:rsid w:val="00EE0350"/>
    <w:rsid w:val="00EE0719"/>
    <w:rsid w:val="00EE0E80"/>
    <w:rsid w:val="00EE4F16"/>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94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067"/>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B2506EB"/>
    <w:rsid w:val="3FDB58C7"/>
    <w:rsid w:val="44644441"/>
    <w:rsid w:val="54E07313"/>
    <w:rsid w:val="58A14202"/>
    <w:rsid w:val="6E636B49"/>
    <w:rsid w:val="6E8E6B7E"/>
    <w:rsid w:val="73951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rPr>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Table Text"/>
    <w:basedOn w:val="1"/>
    <w:semiHidden/>
    <w:qFormat/>
    <w:uiPriority w:val="0"/>
    <w:rPr>
      <w:rFonts w:ascii="宋体" w:hAnsi="宋体" w:eastAsia="宋体" w:cs="宋体"/>
      <w:sz w:val="18"/>
      <w:szCs w:val="18"/>
      <w:lang w:val="en-US" w:eastAsia="en-US" w:bidi="ar-SA"/>
    </w:rPr>
  </w:style>
  <w:style w:type="table" w:customStyle="1" w:styleId="232">
    <w:name w:val="Table Normal"/>
    <w:unhideWhenUsed/>
    <w:qFormat/>
    <w:uiPriority w:val="0"/>
    <w:tblPr>
      <w:tblCellMar>
        <w:top w:w="0" w:type="dxa"/>
        <w:left w:w="0" w:type="dxa"/>
        <w:bottom w:w="0" w:type="dxa"/>
        <w:right w:w="0" w:type="dxa"/>
      </w:tblCellMar>
    </w:tblPr>
  </w:style>
  <w:style w:type="paragraph" w:customStyle="1" w:styleId="23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8537652F6734802AA325146ED5BE7C5"/>
        <w:style w:val=""/>
        <w:category>
          <w:name w:val="常规"/>
          <w:gallery w:val="placeholder"/>
        </w:category>
        <w:types>
          <w:type w:val="bbPlcHdr"/>
        </w:types>
        <w:behaviors>
          <w:behavior w:val="content"/>
        </w:behaviors>
        <w:description w:val=""/>
        <w:guid w:val="{3D8B40B1-22DD-4914-A79A-5D2877308B80}"/>
      </w:docPartPr>
      <w:docPartBody>
        <w:p w14:paraId="2B75908C">
          <w:pPr>
            <w:pStyle w:val="5"/>
          </w:pPr>
          <w:r>
            <w:rPr>
              <w:rStyle w:val="4"/>
              <w:rFonts w:hint="eastAsia"/>
            </w:rPr>
            <w:t>单击或点击此处输入文字。</w:t>
          </w:r>
        </w:p>
      </w:docPartBody>
    </w:docPart>
    <w:docPart>
      <w:docPartPr>
        <w:name w:val="1B497DD45A804E4587D5B778088297E1"/>
        <w:style w:val=""/>
        <w:category>
          <w:name w:val="常规"/>
          <w:gallery w:val="placeholder"/>
        </w:category>
        <w:types>
          <w:type w:val="bbPlcHdr"/>
        </w:types>
        <w:behaviors>
          <w:behavior w:val="content"/>
        </w:behaviors>
        <w:description w:val=""/>
        <w:guid w:val="{36C4A7C1-DE23-4F1B-920E-478C5959B4EE}"/>
      </w:docPartPr>
      <w:docPartBody>
        <w:p w14:paraId="4D1BC89B">
          <w:pPr>
            <w:pStyle w:val="8"/>
          </w:pPr>
          <w:r>
            <w:rPr>
              <w:rStyle w:val="4"/>
              <w:rFonts w:hint="eastAsia"/>
            </w:rPr>
            <w:t>选择一项。</w:t>
          </w:r>
        </w:p>
      </w:docPartBody>
    </w:docPart>
    <w:docPart>
      <w:docPartPr>
        <w:name w:val="46D339B8D55240E2BE997554B0F6AA0A"/>
        <w:style w:val=""/>
        <w:category>
          <w:name w:val="常规"/>
          <w:gallery w:val="placeholder"/>
        </w:category>
        <w:types>
          <w:type w:val="bbPlcHdr"/>
        </w:types>
        <w:behaviors>
          <w:behavior w:val="content"/>
        </w:behaviors>
        <w:description w:val=""/>
        <w:guid w:val="{64FAB00A-286D-4AF4-9744-2F52DDD1EFDE}"/>
      </w:docPartPr>
      <w:docPartBody>
        <w:p w14:paraId="79D541E3">
          <w:pPr>
            <w:pStyle w:val="9"/>
          </w:pPr>
          <w:r>
            <w:rPr>
              <w:rStyle w:val="4"/>
              <w:rFonts w:hint="eastAsia"/>
            </w:rPr>
            <w:t>选择一项。</w:t>
          </w:r>
        </w:p>
      </w:docPartBody>
    </w:docPart>
    <w:docPart>
      <w:docPartPr>
        <w:name w:val="{e383d274-2006-49c4-a179-d959f09d89b7}"/>
        <w:style w:val=""/>
        <w:category>
          <w:name w:val="常规"/>
          <w:gallery w:val="placeholder"/>
        </w:category>
        <w:types>
          <w:type w:val="bbPlcHdr"/>
        </w:types>
        <w:behaviors>
          <w:behavior w:val="content"/>
        </w:behaviors>
        <w:description w:val=""/>
        <w:guid w:val="{e383d274-2006-49c4-a179-d959f09d89b7}"/>
      </w:docPartPr>
      <w:docPartBody>
        <w:p w14:paraId="69D85B98">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B62"/>
    <w:rsid w:val="00200B62"/>
    <w:rsid w:val="00392CFC"/>
    <w:rsid w:val="00694E53"/>
    <w:rsid w:val="0090103B"/>
    <w:rsid w:val="00AB0BFC"/>
    <w:rsid w:val="00D10568"/>
    <w:rsid w:val="00D14F68"/>
    <w:rsid w:val="00F33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8537652F6734802AA325146ED5BE7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E01D11ACCD48F4B272F5228D639B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EA4EE4B415843FF847F69A8DFC079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B497DD45A804E4587D5B778088297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6D339B8D55240E2BE997554B0F6AA0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136C1E-F117-486E-B4C8-BEBF8CB8DABF}">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2339</Words>
  <Characters>2705</Characters>
  <Lines>44</Lines>
  <Paragraphs>12</Paragraphs>
  <TotalTime>11</TotalTime>
  <ScaleCrop>false</ScaleCrop>
  <LinksUpToDate>false</LinksUpToDate>
  <CharactersWithSpaces>2974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2024-06-24T09:15:00Z</dcterms:created>
  <dc:creator>刘建良</dc:creator>
  <dc:description>&lt;config cover="true" show_menu="true" version="1.0.0" doctype="SDKXY"&gt;_x000d_
&lt;/config&gt;</dc:description>
  <cp:lastModifiedBy>高</cp:lastModifiedBy>
  <cp:lastPrinted>2024-06-24T09:47:00Z</cp:lastPrinted>
  <dcterms:modified xsi:type="dcterms:W3CDTF">2025-03-18T00:42:07Z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B9F114CF261A414AA215F4B5E3BEF8FA_13</vt:lpwstr>
  </property>
  <property fmtid="{D5CDD505-2E9C-101B-9397-08002B2CF9AE}" pid="16" name="KSOTemplateDocerSaveRecord">
    <vt:lpwstr>eyJoZGlkIjoiMzVhZTg0MTE2OGQ3OTljNDM1ZTA0Y2Y2ODk4YmY5NDYiLCJ1c2VySWQiOiIzNDM5NTQ1MjMifQ==</vt:lpwstr>
  </property>
</Properties>
</file>